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56" w:rsidRDefault="00206956">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434651101"/>
        <w:docPartObj>
          <w:docPartGallery w:val="Cover Pages"/>
          <w:docPartUnique/>
        </w:docPartObj>
      </w:sdtPr>
      <w:sdtEndPr>
        <w:rPr>
          <w:rFonts w:ascii="Georgia" w:eastAsiaTheme="minorHAnsi" w:hAnsi="Georgia" w:cstheme="minorBidi"/>
          <w:sz w:val="22"/>
          <w:szCs w:val="22"/>
        </w:rPr>
      </w:sdtEndPr>
      <w:sdtContent>
        <w:p w:rsidR="0001013D" w:rsidRPr="0034148C" w:rsidRDefault="00951551">
          <w:pPr>
            <w:pStyle w:val="NoSpacing"/>
            <w:rPr>
              <w:rFonts w:asciiTheme="majorHAnsi" w:eastAsiaTheme="majorEastAsia" w:hAnsiTheme="majorHAnsi" w:cstheme="majorBidi"/>
              <w:sz w:val="72"/>
              <w:szCs w:val="72"/>
            </w:rPr>
          </w:pPr>
          <w:r w:rsidRPr="00951551">
            <w:rPr>
              <w:rFonts w:eastAsiaTheme="majorEastAsia" w:cstheme="majorBidi"/>
              <w:lang w:eastAsia="zh-TW"/>
            </w:rPr>
            <w:pict>
              <v:rect id="_x0000_s1027"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fe8637 [3204]" strokecolor="#6d83b3 [2408]">
                <w10:wrap anchorx="page" anchory="page"/>
              </v:rect>
            </w:pict>
          </w:r>
          <w:r w:rsidRPr="00951551">
            <w:rPr>
              <w:rFonts w:eastAsiaTheme="majorEastAsia" w:cstheme="majorBidi"/>
              <w:lang w:eastAsia="zh-TW"/>
            </w:rPr>
            <w:pict>
              <v:rect id="_x0000_s1030"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6d83b3 [2408]">
                <w10:wrap anchorx="margin" anchory="page"/>
              </v:rect>
            </w:pict>
          </w:r>
          <w:r w:rsidRPr="00951551">
            <w:rPr>
              <w:rFonts w:eastAsiaTheme="majorEastAsia" w:cstheme="majorBidi"/>
              <w:lang w:eastAsia="zh-TW"/>
            </w:rPr>
            <w:pict>
              <v:rect id="_x0000_s1029"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6d83b3 [2408]">
                <w10:wrap anchorx="page" anchory="page"/>
              </v:rect>
            </w:pict>
          </w:r>
          <w:r w:rsidRPr="00951551">
            <w:rPr>
              <w:rFonts w:eastAsiaTheme="majorEastAsia" w:cstheme="majorBidi"/>
              <w:lang w:eastAsia="zh-TW"/>
            </w:rPr>
            <w:pict>
              <v:rect id="_x0000_s1028"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fe8637 [3204]" strokecolor="#6d83b3 [2408]">
                <w10:wrap anchorx="page" anchory="margin"/>
              </v:rect>
            </w:pic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01013D" w:rsidRPr="0034148C" w:rsidRDefault="0001013D">
              <w:pPr>
                <w:pStyle w:val="NoSpacing"/>
                <w:rPr>
                  <w:rFonts w:asciiTheme="majorHAnsi" w:eastAsiaTheme="majorEastAsia" w:hAnsiTheme="majorHAnsi" w:cstheme="majorBidi"/>
                  <w:sz w:val="72"/>
                  <w:szCs w:val="72"/>
                </w:rPr>
              </w:pPr>
              <w:r w:rsidRPr="0034148C">
                <w:rPr>
                  <w:rFonts w:asciiTheme="majorHAnsi" w:eastAsiaTheme="majorEastAsia" w:hAnsiTheme="majorHAnsi" w:cstheme="majorBidi"/>
                  <w:sz w:val="72"/>
                  <w:szCs w:val="72"/>
                </w:rPr>
                <w:t>Stabilization and Integration of IDPs into Mainstream Georgian Society (SIIMS)</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01013D" w:rsidRPr="0034148C" w:rsidRDefault="0001013D" w:rsidP="00837161">
              <w:pPr>
                <w:pStyle w:val="NoSpacing"/>
                <w:ind w:left="90"/>
                <w:rPr>
                  <w:rFonts w:asciiTheme="majorHAnsi" w:eastAsiaTheme="majorEastAsia" w:hAnsiTheme="majorHAnsi" w:cstheme="majorBidi"/>
                  <w:sz w:val="36"/>
                  <w:szCs w:val="36"/>
                </w:rPr>
              </w:pPr>
              <w:r w:rsidRPr="0034148C">
                <w:rPr>
                  <w:rFonts w:asciiTheme="majorHAnsi" w:eastAsiaTheme="majorEastAsia" w:hAnsiTheme="majorHAnsi" w:cstheme="majorBidi"/>
                  <w:sz w:val="36"/>
                  <w:szCs w:val="36"/>
                </w:rPr>
                <w:t>Final Evaluation</w:t>
              </w:r>
            </w:p>
          </w:sdtContent>
        </w:sdt>
        <w:p w:rsidR="0001013D" w:rsidRPr="0034148C" w:rsidRDefault="0001013D">
          <w:pPr>
            <w:pStyle w:val="NoSpacing"/>
            <w:rPr>
              <w:rFonts w:asciiTheme="majorHAnsi" w:eastAsiaTheme="majorEastAsia" w:hAnsiTheme="majorHAnsi" w:cstheme="majorBidi"/>
              <w:sz w:val="36"/>
              <w:szCs w:val="36"/>
            </w:rPr>
          </w:pPr>
        </w:p>
        <w:p w:rsidR="00837161" w:rsidRPr="0034148C" w:rsidRDefault="00837161">
          <w:pPr>
            <w:pStyle w:val="NoSpacing"/>
            <w:rPr>
              <w:rFonts w:asciiTheme="majorHAnsi" w:eastAsiaTheme="majorEastAsia" w:hAnsiTheme="majorHAnsi" w:cstheme="majorBidi"/>
              <w:sz w:val="36"/>
              <w:szCs w:val="36"/>
            </w:rPr>
          </w:pPr>
        </w:p>
        <w:p w:rsidR="0001013D" w:rsidRPr="0034148C" w:rsidRDefault="0001013D">
          <w:pPr>
            <w:pStyle w:val="NoSpacing"/>
          </w:pPr>
        </w:p>
        <w:sdt>
          <w:sdtPr>
            <w:alias w:val="Company"/>
            <w:id w:val="14700089"/>
            <w:dataBinding w:prefixMappings="xmlns:ns0='http://schemas.openxmlformats.org/officeDocument/2006/extended-properties'" w:xpath="/ns0:Properties[1]/ns0:Company[1]" w:storeItemID="{6668398D-A668-4E3E-A5EB-62B293D839F1}"/>
            <w:text/>
          </w:sdtPr>
          <w:sdtContent>
            <w:p w:rsidR="0001013D" w:rsidRPr="0034148C" w:rsidRDefault="0001013D" w:rsidP="0046020E">
              <w:r w:rsidRPr="0034148C">
                <w:t>Prepared for CARE International in the Caucasus</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Content>
            <w:p w:rsidR="0001013D" w:rsidRPr="0034148C" w:rsidRDefault="0001013D" w:rsidP="0046020E">
              <w:proofErr w:type="gramStart"/>
              <w:r w:rsidRPr="0034148C">
                <w:t>by</w:t>
              </w:r>
              <w:proofErr w:type="gramEnd"/>
              <w:r w:rsidRPr="0034148C">
                <w:t xml:space="preserve"> Kerry Richter</w:t>
              </w:r>
            </w:p>
          </w:sdtContent>
        </w:sdt>
        <w:p w:rsidR="0001013D" w:rsidRPr="0034148C" w:rsidRDefault="00183F89">
          <w:r w:rsidRPr="0034148C">
            <w:rPr>
              <w:noProof/>
              <w:lang w:bidi="th-TH"/>
            </w:rPr>
            <w:drawing>
              <wp:anchor distT="0" distB="0" distL="114300" distR="114300" simplePos="0" relativeHeight="251665408" behindDoc="0" locked="0" layoutInCell="1" allowOverlap="1">
                <wp:simplePos x="0" y="0"/>
                <wp:positionH relativeFrom="column">
                  <wp:posOffset>5377815</wp:posOffset>
                </wp:positionH>
                <wp:positionV relativeFrom="paragraph">
                  <wp:posOffset>4577715</wp:posOffset>
                </wp:positionV>
                <wp:extent cx="979805" cy="850265"/>
                <wp:effectExtent l="19050" t="0" r="0" b="0"/>
                <wp:wrapTopAndBottom/>
                <wp:docPr id="1" name="Picture 1" descr="SIIMS-logo-12"/>
                <wp:cNvGraphicFramePr/>
                <a:graphic xmlns:a="http://schemas.openxmlformats.org/drawingml/2006/main">
                  <a:graphicData uri="http://schemas.openxmlformats.org/drawingml/2006/picture">
                    <pic:pic xmlns:pic="http://schemas.openxmlformats.org/drawingml/2006/picture">
                      <pic:nvPicPr>
                        <pic:cNvPr id="4124" name="Picture 8" descr="SIIMS-logo-12"/>
                        <pic:cNvPicPr>
                          <a:picLocks noChangeAspect="1" noChangeArrowheads="1"/>
                        </pic:cNvPicPr>
                      </pic:nvPicPr>
                      <pic:blipFill>
                        <a:blip r:embed="rId9" cstate="print"/>
                        <a:srcRect/>
                        <a:stretch>
                          <a:fillRect/>
                        </a:stretch>
                      </pic:blipFill>
                      <pic:spPr bwMode="auto">
                        <a:xfrm>
                          <a:off x="0" y="0"/>
                          <a:ext cx="979805" cy="850265"/>
                        </a:xfrm>
                        <a:prstGeom prst="rect">
                          <a:avLst/>
                        </a:prstGeom>
                        <a:noFill/>
                        <a:ln w="9525">
                          <a:noFill/>
                          <a:miter lim="800000"/>
                          <a:headEnd/>
                          <a:tailEnd/>
                        </a:ln>
                      </pic:spPr>
                    </pic:pic>
                  </a:graphicData>
                </a:graphic>
              </wp:anchor>
            </w:drawing>
          </w:r>
          <w:r w:rsidRPr="0034148C">
            <w:rPr>
              <w:noProof/>
              <w:lang w:bidi="th-TH"/>
            </w:rPr>
            <w:drawing>
              <wp:anchor distT="0" distB="0" distL="114300" distR="114300" simplePos="0" relativeHeight="251667456" behindDoc="0" locked="0" layoutInCell="1" allowOverlap="1">
                <wp:simplePos x="0" y="0"/>
                <wp:positionH relativeFrom="column">
                  <wp:posOffset>-427990</wp:posOffset>
                </wp:positionH>
                <wp:positionV relativeFrom="paragraph">
                  <wp:posOffset>4577715</wp:posOffset>
                </wp:positionV>
                <wp:extent cx="673100" cy="850265"/>
                <wp:effectExtent l="19050" t="0" r="0" b="0"/>
                <wp:wrapTopAndBottom/>
                <wp:docPr id="2" name="Picture 0" descr="care-logo-199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logo-199x250.jpg"/>
                        <pic:cNvPicPr/>
                      </pic:nvPicPr>
                      <pic:blipFill>
                        <a:blip r:embed="rId10" cstate="print"/>
                        <a:stretch>
                          <a:fillRect/>
                        </a:stretch>
                      </pic:blipFill>
                      <pic:spPr>
                        <a:xfrm>
                          <a:off x="0" y="0"/>
                          <a:ext cx="673100" cy="850265"/>
                        </a:xfrm>
                        <a:prstGeom prst="rect">
                          <a:avLst/>
                        </a:prstGeom>
                      </pic:spPr>
                    </pic:pic>
                  </a:graphicData>
                </a:graphic>
              </wp:anchor>
            </w:drawing>
          </w:r>
        </w:p>
        <w:p w:rsidR="00D801DE" w:rsidRPr="0034148C" w:rsidRDefault="00D801DE">
          <w:pPr>
            <w:spacing w:after="200"/>
            <w:sectPr w:rsidR="00D801DE" w:rsidRPr="0034148C" w:rsidSect="00D801DE">
              <w:footerReference w:type="default" r:id="rId11"/>
              <w:footerReference w:type="first" r:id="rId12"/>
              <w:pgSz w:w="12240" w:h="15840"/>
              <w:pgMar w:top="1440" w:right="1440" w:bottom="1440" w:left="1440" w:header="720" w:footer="720" w:gutter="0"/>
              <w:pgNumType w:fmt="lowerRoman" w:start="1"/>
              <w:cols w:space="720"/>
              <w:titlePg/>
              <w:docGrid w:linePitch="360"/>
            </w:sectPr>
          </w:pPr>
        </w:p>
        <w:p w:rsidR="0001013D" w:rsidRPr="0034148C" w:rsidRDefault="00951551">
          <w:pPr>
            <w:spacing w:after="200"/>
          </w:pPr>
        </w:p>
      </w:sdtContent>
    </w:sdt>
    <w:p w:rsidR="00FD681C" w:rsidRPr="0034148C" w:rsidRDefault="00BA5DC5" w:rsidP="00555BE4">
      <w:pPr>
        <w:pStyle w:val="Heading1"/>
      </w:pPr>
      <w:bookmarkStart w:id="0" w:name="_Toc338325578"/>
      <w:bookmarkStart w:id="1" w:name="_Toc338572102"/>
      <w:bookmarkStart w:id="2" w:name="_Toc338717110"/>
      <w:bookmarkStart w:id="3" w:name="_Toc338750141"/>
      <w:bookmarkStart w:id="4" w:name="_Toc339368734"/>
      <w:r w:rsidRPr="0034148C">
        <w:t>Executive S</w:t>
      </w:r>
      <w:r w:rsidR="0001013D" w:rsidRPr="0034148C">
        <w:t>ummary</w:t>
      </w:r>
      <w:bookmarkEnd w:id="0"/>
      <w:bookmarkEnd w:id="1"/>
      <w:bookmarkEnd w:id="2"/>
      <w:bookmarkEnd w:id="3"/>
      <w:bookmarkEnd w:id="4"/>
    </w:p>
    <w:p w:rsidR="00854457" w:rsidRPr="006B39A2" w:rsidRDefault="00C96125" w:rsidP="006B39A2">
      <w:r w:rsidRPr="006B39A2">
        <w:t xml:space="preserve">Since the war in Georgia in August 2008, approximately 27,000 people have been unable to return to their homes in and around South Ossetia. Some 18,000 of these internally displaced people (IDPs) </w:t>
      </w:r>
      <w:proofErr w:type="gramStart"/>
      <w:r w:rsidRPr="006B39A2">
        <w:t>were sent</w:t>
      </w:r>
      <w:proofErr w:type="gramEnd"/>
      <w:r w:rsidRPr="006B39A2">
        <w:t xml:space="preserve"> to new settlement areas that were built by the Government in late 2008.  In order to address the problems and integration issues faced the IDPs, CARE Norway and CARE-Caucasus designed a project targeting 10,000 IDPs displaced from South Ossetia and 10,000 inhabitants of communities adjacent to new IDP settlements in the Shida Kartli and Kvemo Kartli regions of Georgia. The goal of the Stabilization and Integration of IDPs into Mainstream Georgian Society (SIIMS) project was to help IDPs and local impacted communities integrate to their new environment, using socio-economic opportunities to reduce poverty and conflict, which </w:t>
      </w:r>
      <w:proofErr w:type="gramStart"/>
      <w:r w:rsidRPr="006B39A2">
        <w:t>are aligned</w:t>
      </w:r>
      <w:proofErr w:type="gramEnd"/>
      <w:r w:rsidRPr="006B39A2">
        <w:t xml:space="preserve"> with local government services and structures. The project aimed to create socio-economic ties between IDPs and local communities through a series of activities grouped in five thematic areas of intervention: 1) income generation and economic development, 2) community development, 3) civil society strengthening, 4) capacity building of children and adolescents, and 5) information sharing and cooperation with the local government. This report presents results of a final evaluation of the project.</w:t>
      </w:r>
    </w:p>
    <w:p w:rsidR="00854457" w:rsidRPr="006B39A2" w:rsidRDefault="00C96125" w:rsidP="006B39A2">
      <w:r w:rsidRPr="006B39A2">
        <w:t xml:space="preserve">The evaluation used a </w:t>
      </w:r>
      <w:r w:rsidRPr="006B39A2">
        <w:rPr>
          <w:b/>
          <w:bCs/>
        </w:rPr>
        <w:t>mixed methods approach</w:t>
      </w:r>
      <w:r w:rsidRPr="006B39A2">
        <w:t xml:space="preserve"> to assess the achievements, effectiveness, cost effectiveness and sustainability of the various components of the SIIMS project. These methods included document review, quantitative analysis of monitoring data, quantitative assessment tools, quantitative surveys of project participants, and qualitative data including focus group discussions (FGDs), structured interviews of key informants and project participants, and site visits of project activities. </w:t>
      </w:r>
    </w:p>
    <w:p w:rsidR="006B39A2" w:rsidRPr="006B39A2" w:rsidRDefault="006B39A2" w:rsidP="006B39A2">
      <w:r w:rsidRPr="006B39A2">
        <w:t xml:space="preserve">The </w:t>
      </w:r>
      <w:r w:rsidRPr="006B39A2">
        <w:rPr>
          <w:b/>
          <w:bCs/>
        </w:rPr>
        <w:t>agricultural machinery</w:t>
      </w:r>
      <w:r w:rsidRPr="006B39A2">
        <w:t xml:space="preserve"> component of the income generation program was a scheme to provide equipment such as tractors, cultivators, plows, etc. to the IDP settlements and surrounding communities, providing much needed resources for farmers. Community members formed into small groups of 5-7 members, which were required to include both IDPs and non-IDPs. The groups </w:t>
      </w:r>
      <w:proofErr w:type="gramStart"/>
      <w:r w:rsidRPr="006B39A2">
        <w:t>were given</w:t>
      </w:r>
      <w:proofErr w:type="gramEnd"/>
      <w:r w:rsidRPr="006B39A2">
        <w:t xml:space="preserve"> training in writing a business plan and managing finances, including taxes; they were regularly visited by SIIMS project staff and given assistance when needed. The monitoring data shows that the groups were able to make a net profit while maintaining the machinery and paying salaries to members of the group. Costs are reasonable and it appears that the groups are doing a good job of accounting for their income and costs. Survey results show that both IDP and local farmers considerably increased the number of hectares they farmed; local farmers increased their agricultural land by 60% (from 1.02 to 1.63 hectares on average) while IDP farmers were farming 3.2 times the amount of land after program implementation (from .19 hectares to .78 hectares on average). IDP farmers increased their income by 78% (from USD $279 to $497 on average) while the local farmers increased their income by 12%. Local farmer FGD participants confirmed that the agricultural machinery groups have assisted their closer relationship with IDPs. Stakeholders often mentioned the agricultural machinery program as having the most significant impact on the project area communities. While the main objective of the project is to raise incomes for IDP and local </w:t>
      </w:r>
      <w:r w:rsidRPr="006B39A2">
        <w:lastRenderedPageBreak/>
        <w:t>farmers, the fact that all of the groups were able to make a net profit and to raise incomes for those in the group through paying salaries to them has very positive implications for the groups’ sustainability.</w:t>
      </w:r>
    </w:p>
    <w:p w:rsidR="006B39A2" w:rsidRPr="006B39A2" w:rsidRDefault="006B39A2" w:rsidP="006B39A2">
      <w:r w:rsidRPr="006B39A2">
        <w:t>The</w:t>
      </w:r>
      <w:r w:rsidRPr="006B39A2">
        <w:rPr>
          <w:b/>
          <w:bCs/>
        </w:rPr>
        <w:t xml:space="preserve"> women </w:t>
      </w:r>
      <w:proofErr w:type="gramStart"/>
      <w:r w:rsidRPr="006B39A2">
        <w:rPr>
          <w:b/>
          <w:bCs/>
        </w:rPr>
        <w:t>entrepreneurs</w:t>
      </w:r>
      <w:proofErr w:type="gramEnd"/>
      <w:r w:rsidRPr="006B39A2">
        <w:rPr>
          <w:b/>
          <w:bCs/>
        </w:rPr>
        <w:t xml:space="preserve"> component</w:t>
      </w:r>
      <w:r w:rsidRPr="006B39A2">
        <w:t xml:space="preserve"> assisted women to create their own businesses through training and the provision of grants. The objectives of the project were to enhance livelihoods, increase skills, create models of successful business start-ups, empower IDP women and increase integration with the local community. The program gave grants to 86 IDP women to initiate 83 small businesses. Nearly all (99%) of these became operational, with 95% still operating at the end of the project period. Moreover, 89% of the businesses became profitable; and nearly half would be profitable even if they were required to pay back the initial grant amount. By type of business, the agricultural production enterprises were less profitable; sales, services and other types of production enterprises had a greater degree of success. The overall average monthly profit of $94 is well above the average household income among IDPs; 34 of the businesses also employed people, for </w:t>
      </w:r>
      <w:proofErr w:type="gramStart"/>
      <w:r w:rsidRPr="006B39A2">
        <w:t>a total of 47</w:t>
      </w:r>
      <w:proofErr w:type="gramEnd"/>
      <w:r w:rsidRPr="006B39A2">
        <w:t xml:space="preserve"> employees overall. Survey data shows that the women’s household incomes increased substantially after joining the program, and the increase was almost entirely due to the business enterprise. Qualitative research indicates that the women have become role models within the community, and they report </w:t>
      </w:r>
      <w:proofErr w:type="gramStart"/>
      <w:r w:rsidRPr="006B39A2">
        <w:t>that on the whole</w:t>
      </w:r>
      <w:proofErr w:type="gramEnd"/>
      <w:r w:rsidRPr="006B39A2">
        <w:t xml:space="preserve"> the effects on family life have been positive. </w:t>
      </w:r>
    </w:p>
    <w:p w:rsidR="006B39A2" w:rsidRPr="006B39A2" w:rsidRDefault="006B39A2" w:rsidP="006B39A2">
      <w:r w:rsidRPr="006B39A2">
        <w:t>The third income generating approach, the</w:t>
      </w:r>
      <w:r w:rsidRPr="006B39A2">
        <w:rPr>
          <w:b/>
          <w:bCs/>
        </w:rPr>
        <w:t xml:space="preserve"> 'grants for jobs' </w:t>
      </w:r>
      <w:r w:rsidRPr="006B39A2">
        <w:t xml:space="preserve">scheme, invited businesses in the local communities to submit proposals for grants for expansion, with the condition that new jobs </w:t>
      </w:r>
      <w:proofErr w:type="gramStart"/>
      <w:r w:rsidRPr="006B39A2">
        <w:t>would be created</w:t>
      </w:r>
      <w:proofErr w:type="gramEnd"/>
      <w:r w:rsidRPr="006B39A2">
        <w:t xml:space="preserve"> for IDPs. By the end of the project period, 15 businesses had received grants of which 13 were still viable. Over the course of the </w:t>
      </w:r>
      <w:proofErr w:type="gramStart"/>
      <w:r w:rsidRPr="006B39A2">
        <w:t>project</w:t>
      </w:r>
      <w:proofErr w:type="gramEnd"/>
      <w:r w:rsidRPr="006B39A2">
        <w:t xml:space="preserve"> 69 IDPs were employed; 56 of these were still employed by the end of the project. Monthly salaries for the employees ranged from $30 per month to $180 per month. While the project had the advantage of creating </w:t>
      </w:r>
      <w:proofErr w:type="gramStart"/>
      <w:r w:rsidRPr="006B39A2">
        <w:t>fairly immediate</w:t>
      </w:r>
      <w:proofErr w:type="gramEnd"/>
      <w:r w:rsidRPr="006B39A2">
        <w:t xml:space="preserve"> employment at start-up, the up-front cost to create these jobs and the risk in whether the enterprise would succeed and continue to employ IDPs were high. By the end of the project period, only four of the enterprises had paid more in IDP wages than they had taken in grant money. However, the project has the advantage of giving direct benefits to non-IDPs, and is the only component of SIIMS that does so. </w:t>
      </w:r>
      <w:proofErr w:type="gramStart"/>
      <w:r w:rsidRPr="006B39A2">
        <w:t>Also</w:t>
      </w:r>
      <w:proofErr w:type="gramEnd"/>
      <w:r w:rsidRPr="006B39A2">
        <w:t>, the relationships formed by the local business owners and the IDP employees that were described in most of the interviews are strong, and this has had a positive impact on IDP integration.</w:t>
      </w:r>
    </w:p>
    <w:p w:rsidR="006B39A2" w:rsidRPr="006B39A2" w:rsidRDefault="006B39A2" w:rsidP="006B39A2">
      <w:r w:rsidRPr="006B39A2">
        <w:t xml:space="preserve">The </w:t>
      </w:r>
      <w:r w:rsidRPr="006B39A2">
        <w:rPr>
          <w:b/>
          <w:bCs/>
        </w:rPr>
        <w:t xml:space="preserve">Infrastructure Grants </w:t>
      </w:r>
      <w:r w:rsidRPr="006B39A2">
        <w:t xml:space="preserve">program funded social and economic community projects that </w:t>
      </w:r>
      <w:proofErr w:type="gramStart"/>
      <w:r w:rsidRPr="006B39A2">
        <w:t>were developed</w:t>
      </w:r>
      <w:proofErr w:type="gramEnd"/>
      <w:r w:rsidRPr="006B39A2">
        <w:t xml:space="preserve"> through a grassroots participatory planning process. The projects </w:t>
      </w:r>
      <w:proofErr w:type="gramStart"/>
      <w:r w:rsidRPr="006B39A2">
        <w:t>were jointly planned and implemented by community groups that were composed of both IDPs and local community members</w:t>
      </w:r>
      <w:proofErr w:type="gramEnd"/>
      <w:r w:rsidRPr="006B39A2">
        <w:t xml:space="preserve">. The process ensured that community needs and priorities </w:t>
      </w:r>
      <w:proofErr w:type="gramStart"/>
      <w:r w:rsidRPr="006B39A2">
        <w:t>were defined</w:t>
      </w:r>
      <w:proofErr w:type="gramEnd"/>
      <w:r w:rsidRPr="006B39A2">
        <w:t xml:space="preserve"> and that the resulting projects were needed and used by the communities. </w:t>
      </w:r>
      <w:proofErr w:type="gramStart"/>
      <w:r w:rsidRPr="006B39A2">
        <w:t>Moreover, the process of defining the project, developing the proposal and implementing the grant-built relationships between IDP and local community members.</w:t>
      </w:r>
      <w:proofErr w:type="gramEnd"/>
      <w:r w:rsidRPr="006B39A2">
        <w:t xml:space="preserve"> Each community group provided co-financing for the projects in the form of money, contributed labor, and/or building materials; overall the community contributed 14% of the project costs. CARE initiative funded about 69% of the cost, and through their work with municipalities and governments, secured a commitment to 10% funding for the projects in Gori municipality. Other government contributions included waiving </w:t>
      </w:r>
      <w:r w:rsidRPr="006B39A2">
        <w:lastRenderedPageBreak/>
        <w:t xml:space="preserve">license fees and obtaining co-funding from the schools. Economic infrastructure projects brought significant improvement to the economic situation of their communities, while social projects provided recreational opportunities. Both </w:t>
      </w:r>
      <w:proofErr w:type="gramStart"/>
      <w:r w:rsidRPr="006B39A2">
        <w:t>helped  increased</w:t>
      </w:r>
      <w:proofErr w:type="gramEnd"/>
      <w:r w:rsidRPr="006B39A2">
        <w:t xml:space="preserve"> community integration,  helped to solve conflicts and to improve relationships. Projects continue to be used by the communities, and many of the Local Initiatives Committees are still are working together to represent the community on issues of importance, raise funding to initiate new projects,  maintain the projects, initiate new economic activities and solve community problems.  </w:t>
      </w:r>
    </w:p>
    <w:p w:rsidR="006B39A2" w:rsidRPr="006B39A2" w:rsidRDefault="006B39A2" w:rsidP="006B39A2">
      <w:r w:rsidRPr="006B39A2">
        <w:t xml:space="preserve">As a means to help IDPs and local impacted communities integrate into their new environment, the SIIMS project provided </w:t>
      </w:r>
      <w:r w:rsidRPr="006B39A2">
        <w:rPr>
          <w:b/>
          <w:bCs/>
        </w:rPr>
        <w:t>training to CSO</w:t>
      </w:r>
      <w:r w:rsidRPr="006B39A2">
        <w:t xml:space="preserve"> representatives with the aim of improving their capacity to deliver social services. Nineteen CSOs attended trainings provided in advance of the first round of the grants competition, and 23 organizations attended the proposal writing training provided in advance of the second round of the grants competition. According to monitoring data, </w:t>
      </w:r>
      <w:r w:rsidRPr="006B39A2">
        <w:rPr>
          <w:bCs/>
        </w:rPr>
        <w:t>4,245 people benefitted directly from the 15 CSO projects supported by SIIMS.</w:t>
      </w:r>
      <w:r w:rsidRPr="006B39A2">
        <w:t xml:space="preserve"> The achievements of the program show that these projects</w:t>
      </w:r>
      <w:r w:rsidRPr="006B39A2">
        <w:rPr>
          <w:bCs/>
        </w:rPr>
        <w:t xml:space="preserve"> enabled the integration of IDPs and communities. </w:t>
      </w:r>
      <w:r w:rsidRPr="006B39A2">
        <w:t xml:space="preserve">The projects </w:t>
      </w:r>
      <w:proofErr w:type="gramStart"/>
      <w:r w:rsidRPr="006B39A2">
        <w:t>made some contribution</w:t>
      </w:r>
      <w:proofErr w:type="gramEnd"/>
      <w:r w:rsidRPr="006B39A2">
        <w:t xml:space="preserve"> to enabling IDPs to exercise their rights and access services, to mobilizing IDPs to solve problems in their communities and to connect IDPs to local government representatives. SIIMS also </w:t>
      </w:r>
      <w:proofErr w:type="gramStart"/>
      <w:r w:rsidRPr="006B39A2">
        <w:t>made a contribution</w:t>
      </w:r>
      <w:proofErr w:type="gramEnd"/>
      <w:r w:rsidRPr="006B39A2">
        <w:t xml:space="preserve"> towards improving their capacity to deliver services for the funded organizations. The nature of the programs implemented (particularly those implemented during the second round of the grant competition) was such that they helped build up a picture or the problems and needs of different IDP communities and vision that these communities have for how to improve their situation. </w:t>
      </w:r>
    </w:p>
    <w:p w:rsidR="006B39A2" w:rsidRPr="006B39A2" w:rsidRDefault="006B39A2" w:rsidP="006B39A2">
      <w:pPr>
        <w:rPr>
          <w:bCs/>
        </w:rPr>
      </w:pPr>
      <w:r w:rsidRPr="006B39A2">
        <w:rPr>
          <w:bCs/>
        </w:rPr>
        <w:t>The</w:t>
      </w:r>
      <w:r w:rsidRPr="006B39A2">
        <w:rPr>
          <w:b/>
        </w:rPr>
        <w:t xml:space="preserve"> Capacity Building of Children and Adolescents </w:t>
      </w:r>
      <w:r w:rsidRPr="006B39A2">
        <w:rPr>
          <w:bCs/>
        </w:rPr>
        <w:t xml:space="preserve">component of the SIIMS project </w:t>
      </w:r>
      <w:proofErr w:type="gramStart"/>
      <w:r w:rsidRPr="006B39A2">
        <w:rPr>
          <w:bCs/>
        </w:rPr>
        <w:t>was largely implemented</w:t>
      </w:r>
      <w:proofErr w:type="gramEnd"/>
      <w:r w:rsidRPr="006B39A2">
        <w:rPr>
          <w:bCs/>
        </w:rPr>
        <w:t xml:space="preserve"> by the project partner, IDP Women Association CONSENT. The component </w:t>
      </w:r>
      <w:proofErr w:type="gramStart"/>
      <w:r w:rsidRPr="006B39A2">
        <w:rPr>
          <w:bCs/>
        </w:rPr>
        <w:t>was implemented</w:t>
      </w:r>
      <w:proofErr w:type="gramEnd"/>
      <w:r w:rsidRPr="006B39A2">
        <w:rPr>
          <w:bCs/>
        </w:rPr>
        <w:t xml:space="preserve"> with students from 15 pre-selected schools where IDP and local adolescents have studied together since autumn 2008. Through the facilitation of life skill training on a number of pre-selected topics (such as leadership, tolerance, conflict management, volunteerism, gender issues </w:t>
      </w:r>
      <w:proofErr w:type="gramStart"/>
      <w:r w:rsidRPr="006B39A2">
        <w:rPr>
          <w:bCs/>
        </w:rPr>
        <w:t>etc.)</w:t>
      </w:r>
      <w:proofErr w:type="gramEnd"/>
      <w:r w:rsidRPr="006B39A2">
        <w:rPr>
          <w:bCs/>
        </w:rPr>
        <w:t xml:space="preserve"> the project aimed to bring together both IDP and non-IDP youth and adults. Monitoring data shows that the project overreached its goal in favor of local students – instead of the target of 500 locals, </w:t>
      </w:r>
      <w:proofErr w:type="gramStart"/>
      <w:r w:rsidRPr="006B39A2">
        <w:rPr>
          <w:bCs/>
        </w:rPr>
        <w:t>a total of 5266</w:t>
      </w:r>
      <w:proofErr w:type="gramEnd"/>
      <w:r w:rsidRPr="006B39A2">
        <w:rPr>
          <w:bCs/>
        </w:rPr>
        <w:t xml:space="preserve"> were trained, while instead of target of 500 IDPs, the project was able to involve 955. </w:t>
      </w:r>
      <w:proofErr w:type="gramStart"/>
      <w:r w:rsidRPr="006B39A2">
        <w:rPr>
          <w:bCs/>
        </w:rPr>
        <w:t>As a result</w:t>
      </w:r>
      <w:proofErr w:type="gramEnd"/>
      <w:r w:rsidRPr="006B39A2">
        <w:rPr>
          <w:bCs/>
        </w:rPr>
        <w:t xml:space="preserve"> of the project interventions, life-skills were effectively developed among target beneficiaries and interaction between IDPs and local students has improved and intensified. The content of the component interventions </w:t>
      </w:r>
      <w:proofErr w:type="gramStart"/>
      <w:r w:rsidRPr="006B39A2">
        <w:rPr>
          <w:bCs/>
        </w:rPr>
        <w:t>was found</w:t>
      </w:r>
      <w:proofErr w:type="gramEnd"/>
      <w:r w:rsidRPr="006B39A2">
        <w:rPr>
          <w:bCs/>
        </w:rPr>
        <w:t xml:space="preserve"> appropriate by the project beneficiaries who expressed high interest in the selected topics. Pre- and post- training test results indicate that participants absorbed significant amounts of information during the trainings. Various rehabilitation projects </w:t>
      </w:r>
      <w:proofErr w:type="gramStart"/>
      <w:r w:rsidRPr="006B39A2">
        <w:rPr>
          <w:bCs/>
        </w:rPr>
        <w:t>were implemented</w:t>
      </w:r>
      <w:proofErr w:type="gramEnd"/>
      <w:r w:rsidRPr="006B39A2">
        <w:rPr>
          <w:bCs/>
        </w:rPr>
        <w:t xml:space="preserve"> in target schools along with the provided trainings. Specifically, school projects included the rehabilitation of school buildings, rehabilitation and equipping of libraries, establishment/rehabilitation/equipping of a conference hall, </w:t>
      </w:r>
      <w:proofErr w:type="gramStart"/>
      <w:r w:rsidRPr="006B39A2">
        <w:rPr>
          <w:bCs/>
        </w:rPr>
        <w:t>school yard</w:t>
      </w:r>
      <w:proofErr w:type="gramEnd"/>
      <w:r w:rsidRPr="006B39A2">
        <w:rPr>
          <w:bCs/>
        </w:rPr>
        <w:t xml:space="preserve"> fencing, playground rehabilitation etc. According to the school personnel, the school projects were answering the greatest needs of the schools and, therefore, there was a high degree of satisfaction with this intervention.  </w:t>
      </w:r>
    </w:p>
    <w:p w:rsidR="006B39A2" w:rsidRPr="006B39A2" w:rsidRDefault="006B39A2" w:rsidP="006B39A2">
      <w:pPr>
        <w:rPr>
          <w:bCs/>
        </w:rPr>
      </w:pPr>
      <w:r w:rsidRPr="006B39A2">
        <w:rPr>
          <w:bCs/>
        </w:rPr>
        <w:lastRenderedPageBreak/>
        <w:t xml:space="preserve">The final component of the SIIMS project </w:t>
      </w:r>
      <w:proofErr w:type="gramStart"/>
      <w:r w:rsidRPr="006B39A2">
        <w:rPr>
          <w:bCs/>
        </w:rPr>
        <w:t>was designed</w:t>
      </w:r>
      <w:proofErr w:type="gramEnd"/>
      <w:r w:rsidRPr="006B39A2">
        <w:rPr>
          <w:bCs/>
        </w:rPr>
        <w:t xml:space="preserve"> to develop and maintain communication channels with the </w:t>
      </w:r>
      <w:r w:rsidRPr="006B39A2">
        <w:rPr>
          <w:b/>
        </w:rPr>
        <w:t>national and local government agencies</w:t>
      </w:r>
      <w:r w:rsidRPr="006B39A2">
        <w:rPr>
          <w:bCs/>
        </w:rPr>
        <w:t xml:space="preserve"> that work with IDPs, with the objective of improving service delivery to this population. Activities included consultations and discussions on programming with municipal and government authorities, and advocating for improved structures and mechanisms. CARE successfully developed a memo of cooperation with the Gori municipality to contribute 10% of the cost of the social and economic infrastructure projects in that area. With regard to building strong channels of communication with government officials at multiple levels, nearly all of the officials interviewed were extremely positive about CARE’s work in the region, saying that they agreed with CARE’s strategies to promote integration through community-based projects that benefitted both IDPs and the local population. The agricultural machinery program and the infrastructure projects </w:t>
      </w:r>
      <w:proofErr w:type="gramStart"/>
      <w:r w:rsidRPr="006B39A2">
        <w:rPr>
          <w:bCs/>
        </w:rPr>
        <w:t>were cited</w:t>
      </w:r>
      <w:proofErr w:type="gramEnd"/>
      <w:r w:rsidRPr="006B39A2">
        <w:rPr>
          <w:bCs/>
        </w:rPr>
        <w:t xml:space="preserve"> in particular as positive forces for progress that had full government backing.</w:t>
      </w:r>
    </w:p>
    <w:p w:rsidR="006B39A2" w:rsidRPr="006B39A2" w:rsidRDefault="006B39A2" w:rsidP="006B39A2">
      <w:pPr>
        <w:rPr>
          <w:bCs/>
        </w:rPr>
      </w:pPr>
      <w:r w:rsidRPr="006B39A2">
        <w:rPr>
          <w:bCs/>
        </w:rPr>
        <w:t xml:space="preserve">Despite the overall success of the SIIMS project, some </w:t>
      </w:r>
      <w:r w:rsidRPr="006B39A2">
        <w:rPr>
          <w:b/>
        </w:rPr>
        <w:t>challenges</w:t>
      </w:r>
      <w:r w:rsidRPr="006B39A2">
        <w:rPr>
          <w:bCs/>
        </w:rPr>
        <w:t xml:space="preserve"> </w:t>
      </w:r>
      <w:proofErr w:type="gramStart"/>
      <w:r w:rsidRPr="006B39A2">
        <w:rPr>
          <w:bCs/>
        </w:rPr>
        <w:t>should be noted</w:t>
      </w:r>
      <w:proofErr w:type="gramEnd"/>
      <w:r w:rsidRPr="006B39A2">
        <w:rPr>
          <w:bCs/>
        </w:rPr>
        <w:t xml:space="preserve">. Economic opportunities in the project communities are limited, for local residents as well as for IDPs. The success of the SIIMS program, especially the agricultural machinery and women </w:t>
      </w:r>
      <w:proofErr w:type="gramStart"/>
      <w:r w:rsidRPr="006B39A2">
        <w:rPr>
          <w:bCs/>
        </w:rPr>
        <w:t>entrepreneurs</w:t>
      </w:r>
      <w:proofErr w:type="gramEnd"/>
      <w:r w:rsidRPr="006B39A2">
        <w:rPr>
          <w:bCs/>
        </w:rPr>
        <w:t xml:space="preserve"> components, has made it very visible in the project communities, provoking at times some unwanted political attention. CARE staff had to be strategic to ensure that there was no appearance of corruption or political influence on the program. The selection process for the agricultural machinery groups and the women entrepreneurs included an objective scoring system that was transparent for anyone who wanted further information on the process. Despite CARE’s efforts to make the selection process fair and transparent, some resentment arose among those who applied and </w:t>
      </w:r>
      <w:proofErr w:type="gramStart"/>
      <w:r w:rsidRPr="006B39A2">
        <w:rPr>
          <w:bCs/>
        </w:rPr>
        <w:t>were not selected</w:t>
      </w:r>
      <w:proofErr w:type="gramEnd"/>
      <w:r w:rsidRPr="006B39A2">
        <w:rPr>
          <w:bCs/>
        </w:rPr>
        <w:t xml:space="preserve">. </w:t>
      </w:r>
      <w:proofErr w:type="gramStart"/>
      <w:r w:rsidRPr="006B39A2">
        <w:rPr>
          <w:bCs/>
        </w:rPr>
        <w:t>Also</w:t>
      </w:r>
      <w:proofErr w:type="gramEnd"/>
      <w:r w:rsidRPr="006B39A2">
        <w:rPr>
          <w:bCs/>
        </w:rPr>
        <w:t>, the grants-for-jobs program proved to be more difficult to implement than expected. It was difficult to find businesses who were interested in joining the program, and even more difficult to those with good prospects for success and a likely pay-off to investment.</w:t>
      </w:r>
    </w:p>
    <w:p w:rsidR="006B39A2" w:rsidRPr="006B39A2" w:rsidRDefault="006B39A2" w:rsidP="006B39A2">
      <w:pPr>
        <w:rPr>
          <w:bCs/>
        </w:rPr>
      </w:pPr>
      <w:r w:rsidRPr="006B39A2">
        <w:rPr>
          <w:bCs/>
        </w:rPr>
        <w:t xml:space="preserve">CARE’s </w:t>
      </w:r>
      <w:r w:rsidRPr="006B39A2">
        <w:rPr>
          <w:b/>
        </w:rPr>
        <w:t>vision</w:t>
      </w:r>
      <w:r w:rsidRPr="006B39A2">
        <w:rPr>
          <w:bCs/>
        </w:rPr>
        <w:t xml:space="preserve"> for support to IDPs follows the UN framework for durable solutions for resettlement, as measured by whether they have safety and security; an adequate standard of living; livelihoods and employment; mechanisms for the restoration of housing, land and property; access to documentation; possibility for family reunification; possibility for public participation; and remedies for displacement-related violations. CARE must work carefully to overcome </w:t>
      </w:r>
      <w:proofErr w:type="gramStart"/>
      <w:r w:rsidRPr="006B39A2">
        <w:rPr>
          <w:bCs/>
        </w:rPr>
        <w:t>the  systemic</w:t>
      </w:r>
      <w:proofErr w:type="gramEnd"/>
      <w:r w:rsidRPr="006B39A2">
        <w:rPr>
          <w:bCs/>
        </w:rPr>
        <w:t xml:space="preserve"> challenges of minimal government policies addressing IDP issues, a weak civil service sector, and a lack of initiative and social capital among IDPs. Durable solutions would continue</w:t>
      </w:r>
      <w:r w:rsidRPr="006B39A2">
        <w:rPr>
          <w:bCs/>
          <w:lang w:val="en-GB"/>
        </w:rPr>
        <w:t xml:space="preserve"> to improve IDPs’ connections to livelihood opportunities, continue to mobilize social capital and networks within IDP settlements, and empower IDPs to have a greater influence on policies and resource allocations.</w:t>
      </w:r>
    </w:p>
    <w:p w:rsidR="00D801DE" w:rsidRPr="0034148C" w:rsidRDefault="006B39A2" w:rsidP="006B39A2">
      <w:r w:rsidRPr="006B39A2">
        <w:rPr>
          <w:bCs/>
          <w:lang w:val="en-GB"/>
        </w:rPr>
        <w:t>In working towards this vision, CARE’s role will shift from chief implementer and service provider, towards being a facilitator, connector and influencer. To promote sustainability in program implementation, CARE will now seek to work with strategic national partners that are already providing such services. These organizations may be governmental, non-governmental, or even commercial. But the commonality between them would be that they already have resources that they can mobilize towards the project and have a strong interest in continuing to provide services even after a specific project with CARE ends.</w:t>
      </w:r>
      <w:r w:rsidR="00D801DE" w:rsidRPr="0034148C">
        <w:br w:type="page"/>
      </w:r>
    </w:p>
    <w:p w:rsidR="0001013D" w:rsidRPr="0034148C" w:rsidRDefault="00BA5DC5" w:rsidP="00555BE4">
      <w:pPr>
        <w:pStyle w:val="Heading1"/>
      </w:pPr>
      <w:bookmarkStart w:id="5" w:name="_Toc338325579"/>
      <w:bookmarkStart w:id="6" w:name="_Toc338572103"/>
      <w:bookmarkStart w:id="7" w:name="_Toc338717111"/>
      <w:bookmarkStart w:id="8" w:name="_Toc338750142"/>
      <w:bookmarkStart w:id="9" w:name="_Toc339368735"/>
      <w:r w:rsidRPr="0034148C">
        <w:lastRenderedPageBreak/>
        <w:t>Acronyms &amp; A</w:t>
      </w:r>
      <w:r w:rsidR="00D801DE" w:rsidRPr="0034148C">
        <w:t>bbreviations</w:t>
      </w:r>
      <w:bookmarkEnd w:id="5"/>
      <w:bookmarkEnd w:id="6"/>
      <w:bookmarkEnd w:id="7"/>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7560"/>
      </w:tblGrid>
      <w:tr w:rsidR="006A33B1" w:rsidRPr="0034148C" w:rsidTr="00D801DE">
        <w:tc>
          <w:tcPr>
            <w:tcW w:w="1908" w:type="dxa"/>
          </w:tcPr>
          <w:p w:rsidR="006A33B1" w:rsidRPr="0034148C" w:rsidRDefault="006A33B1" w:rsidP="00D801DE">
            <w:r w:rsidRPr="0034148C">
              <w:t>CSO</w:t>
            </w:r>
          </w:p>
        </w:tc>
        <w:tc>
          <w:tcPr>
            <w:tcW w:w="7560" w:type="dxa"/>
          </w:tcPr>
          <w:p w:rsidR="006A33B1" w:rsidRPr="0034148C" w:rsidRDefault="006A33B1" w:rsidP="00D801DE">
            <w:r w:rsidRPr="0034148C">
              <w:t>Civil society organization</w:t>
            </w:r>
          </w:p>
        </w:tc>
      </w:tr>
      <w:tr w:rsidR="006A33B1" w:rsidRPr="0034148C" w:rsidTr="00D801DE">
        <w:tc>
          <w:tcPr>
            <w:tcW w:w="1908" w:type="dxa"/>
          </w:tcPr>
          <w:p w:rsidR="006A33B1" w:rsidRPr="0034148C" w:rsidRDefault="006A33B1" w:rsidP="00D801DE">
            <w:r w:rsidRPr="0034148C">
              <w:t>FGD</w:t>
            </w:r>
          </w:p>
        </w:tc>
        <w:tc>
          <w:tcPr>
            <w:tcW w:w="7560" w:type="dxa"/>
          </w:tcPr>
          <w:p w:rsidR="006A33B1" w:rsidRPr="0034148C" w:rsidRDefault="006A33B1" w:rsidP="00D801DE">
            <w:r w:rsidRPr="0034148C">
              <w:t>Focus group discussion</w:t>
            </w:r>
          </w:p>
        </w:tc>
      </w:tr>
      <w:tr w:rsidR="006A33B1" w:rsidRPr="0034148C" w:rsidTr="00D801DE">
        <w:tc>
          <w:tcPr>
            <w:tcW w:w="1908" w:type="dxa"/>
          </w:tcPr>
          <w:p w:rsidR="006A33B1" w:rsidRPr="0034148C" w:rsidRDefault="006A33B1" w:rsidP="00D801DE">
            <w:r w:rsidRPr="0034148C">
              <w:t>GEL</w:t>
            </w:r>
          </w:p>
        </w:tc>
        <w:tc>
          <w:tcPr>
            <w:tcW w:w="7560" w:type="dxa"/>
          </w:tcPr>
          <w:p w:rsidR="006A33B1" w:rsidRPr="0034148C" w:rsidRDefault="006A33B1" w:rsidP="00D801DE">
            <w:r w:rsidRPr="0034148C">
              <w:t>Georgian lari</w:t>
            </w:r>
          </w:p>
        </w:tc>
      </w:tr>
      <w:tr w:rsidR="006A33B1" w:rsidRPr="0034148C" w:rsidTr="00D801DE">
        <w:tc>
          <w:tcPr>
            <w:tcW w:w="1908" w:type="dxa"/>
          </w:tcPr>
          <w:p w:rsidR="006A33B1" w:rsidRPr="0034148C" w:rsidRDefault="006A33B1" w:rsidP="00D801DE">
            <w:r w:rsidRPr="0034148C">
              <w:t>IDP</w:t>
            </w:r>
          </w:p>
        </w:tc>
        <w:tc>
          <w:tcPr>
            <w:tcW w:w="7560" w:type="dxa"/>
          </w:tcPr>
          <w:p w:rsidR="006A33B1" w:rsidRPr="0034148C" w:rsidRDefault="006A33B1" w:rsidP="00D801DE">
            <w:r w:rsidRPr="0034148C">
              <w:t>Internally Displaced Person</w:t>
            </w:r>
          </w:p>
        </w:tc>
      </w:tr>
      <w:tr w:rsidR="006A33B1" w:rsidRPr="0034148C" w:rsidTr="00D801DE">
        <w:tc>
          <w:tcPr>
            <w:tcW w:w="1908" w:type="dxa"/>
          </w:tcPr>
          <w:p w:rsidR="006A33B1" w:rsidRPr="0034148C" w:rsidRDefault="006A33B1" w:rsidP="00D801DE">
            <w:r w:rsidRPr="0034148C">
              <w:t>M&amp;E</w:t>
            </w:r>
          </w:p>
        </w:tc>
        <w:tc>
          <w:tcPr>
            <w:tcW w:w="7560" w:type="dxa"/>
          </w:tcPr>
          <w:p w:rsidR="006A33B1" w:rsidRPr="0034148C" w:rsidRDefault="006A33B1" w:rsidP="00D801DE">
            <w:r w:rsidRPr="0034148C">
              <w:t>Monitoring &amp; evaluation</w:t>
            </w:r>
          </w:p>
        </w:tc>
      </w:tr>
      <w:tr w:rsidR="006A33B1" w:rsidRPr="0034148C" w:rsidTr="00D801DE">
        <w:tc>
          <w:tcPr>
            <w:tcW w:w="1908" w:type="dxa"/>
          </w:tcPr>
          <w:p w:rsidR="006A33B1" w:rsidRPr="0034148C" w:rsidRDefault="006A33B1" w:rsidP="00D801DE">
            <w:r w:rsidRPr="0034148C">
              <w:t>NGO</w:t>
            </w:r>
          </w:p>
        </w:tc>
        <w:tc>
          <w:tcPr>
            <w:tcW w:w="7560" w:type="dxa"/>
          </w:tcPr>
          <w:p w:rsidR="006A33B1" w:rsidRPr="0034148C" w:rsidRDefault="006A33B1" w:rsidP="00D801DE">
            <w:r w:rsidRPr="0034148C">
              <w:t>Non-governmental organization</w:t>
            </w:r>
          </w:p>
        </w:tc>
      </w:tr>
      <w:tr w:rsidR="006F42BD" w:rsidRPr="0034148C" w:rsidTr="00D801DE">
        <w:tc>
          <w:tcPr>
            <w:tcW w:w="1908" w:type="dxa"/>
          </w:tcPr>
          <w:p w:rsidR="006F42BD" w:rsidRPr="0034148C" w:rsidRDefault="006F42BD" w:rsidP="00D801DE">
            <w:r>
              <w:t>NMFA</w:t>
            </w:r>
          </w:p>
        </w:tc>
        <w:tc>
          <w:tcPr>
            <w:tcW w:w="7560" w:type="dxa"/>
          </w:tcPr>
          <w:p w:rsidR="006F42BD" w:rsidRPr="0034148C" w:rsidRDefault="006F42BD" w:rsidP="006F42BD">
            <w:r>
              <w:t>Norwegian Ministry of Foreign Affairs</w:t>
            </w:r>
          </w:p>
        </w:tc>
      </w:tr>
      <w:tr w:rsidR="006A33B1" w:rsidRPr="0034148C" w:rsidTr="00D801DE">
        <w:tc>
          <w:tcPr>
            <w:tcW w:w="1908" w:type="dxa"/>
          </w:tcPr>
          <w:p w:rsidR="006A33B1" w:rsidRPr="0034148C" w:rsidRDefault="006A33B1" w:rsidP="00D801DE">
            <w:r w:rsidRPr="0034148C">
              <w:t>SIIMS</w:t>
            </w:r>
          </w:p>
        </w:tc>
        <w:tc>
          <w:tcPr>
            <w:tcW w:w="7560" w:type="dxa"/>
          </w:tcPr>
          <w:p w:rsidR="006A33B1" w:rsidRPr="0034148C" w:rsidRDefault="006A33B1" w:rsidP="00D801DE">
            <w:r w:rsidRPr="0034148C">
              <w:rPr>
                <w:rFonts w:eastAsia="Calibri" w:cs="Cordia New"/>
              </w:rPr>
              <w:t>Stabilization and Integration of IDPs into Mainstream Georgian Society</w:t>
            </w:r>
          </w:p>
        </w:tc>
      </w:tr>
      <w:tr w:rsidR="006A33B1" w:rsidRPr="0034148C" w:rsidTr="00D801DE">
        <w:tc>
          <w:tcPr>
            <w:tcW w:w="1908" w:type="dxa"/>
          </w:tcPr>
          <w:p w:rsidR="006A33B1" w:rsidRPr="0034148C" w:rsidRDefault="006A33B1" w:rsidP="00D801DE">
            <w:r w:rsidRPr="0034148C">
              <w:t>USAID</w:t>
            </w:r>
          </w:p>
        </w:tc>
        <w:tc>
          <w:tcPr>
            <w:tcW w:w="7560" w:type="dxa"/>
          </w:tcPr>
          <w:p w:rsidR="006A33B1" w:rsidRPr="0034148C" w:rsidRDefault="006A33B1" w:rsidP="00D801DE">
            <w:r w:rsidRPr="0034148C">
              <w:t>United States Agency for International Development</w:t>
            </w:r>
          </w:p>
        </w:tc>
      </w:tr>
      <w:tr w:rsidR="006A33B1" w:rsidRPr="0034148C" w:rsidTr="00D801DE">
        <w:tc>
          <w:tcPr>
            <w:tcW w:w="1908" w:type="dxa"/>
          </w:tcPr>
          <w:p w:rsidR="006A33B1" w:rsidRPr="0034148C" w:rsidRDefault="006A33B1" w:rsidP="00D801DE">
            <w:r w:rsidRPr="0034148C">
              <w:t>USD</w:t>
            </w:r>
          </w:p>
        </w:tc>
        <w:tc>
          <w:tcPr>
            <w:tcW w:w="7560" w:type="dxa"/>
          </w:tcPr>
          <w:p w:rsidR="006A33B1" w:rsidRPr="0034148C" w:rsidRDefault="006A33B1" w:rsidP="00D801DE">
            <w:r w:rsidRPr="0034148C">
              <w:t>U.S. dollar</w:t>
            </w:r>
          </w:p>
        </w:tc>
      </w:tr>
    </w:tbl>
    <w:p w:rsidR="00835BAB" w:rsidRPr="0034148C" w:rsidRDefault="00835BAB" w:rsidP="00D801DE"/>
    <w:p w:rsidR="00835BAB" w:rsidRPr="0034148C" w:rsidRDefault="00835BAB">
      <w:pPr>
        <w:spacing w:after="200"/>
      </w:pPr>
      <w:r w:rsidRPr="0034148C">
        <w:br w:type="page"/>
      </w:r>
    </w:p>
    <w:p w:rsidR="00555BE4" w:rsidRPr="0034148C" w:rsidRDefault="00BA5DC5" w:rsidP="00555BE4">
      <w:pPr>
        <w:pStyle w:val="Heading1"/>
      </w:pPr>
      <w:bookmarkStart w:id="10" w:name="_Toc338325580"/>
      <w:bookmarkStart w:id="11" w:name="_Toc338572104"/>
      <w:bookmarkStart w:id="12" w:name="_Toc338717112"/>
      <w:bookmarkStart w:id="13" w:name="_Toc338750143"/>
      <w:bookmarkStart w:id="14" w:name="_Toc339368736"/>
      <w:r w:rsidRPr="0034148C">
        <w:lastRenderedPageBreak/>
        <w:t>A</w:t>
      </w:r>
      <w:r w:rsidR="00555BE4" w:rsidRPr="0034148C">
        <w:t>cknowledgments</w:t>
      </w:r>
      <w:bookmarkEnd w:id="10"/>
      <w:bookmarkEnd w:id="11"/>
      <w:bookmarkEnd w:id="12"/>
      <w:bookmarkEnd w:id="13"/>
      <w:bookmarkEnd w:id="14"/>
    </w:p>
    <w:p w:rsidR="00FE1972" w:rsidRPr="0034148C" w:rsidRDefault="00F633CD" w:rsidP="00555BE4">
      <w:r w:rsidRPr="0034148C">
        <w:t xml:space="preserve">This report is a compilation of a number of different studies that </w:t>
      </w:r>
      <w:proofErr w:type="gramStart"/>
      <w:r w:rsidRPr="0034148C">
        <w:t>were conducted</w:t>
      </w:r>
      <w:proofErr w:type="gramEnd"/>
      <w:r w:rsidRPr="0034148C">
        <w:t xml:space="preserve"> as part of the overall evaluation of the SIIMS project. Section 6, the evaluation of the </w:t>
      </w:r>
      <w:r w:rsidR="00D4293D" w:rsidRPr="0034148C">
        <w:t xml:space="preserve">Support to </w:t>
      </w:r>
      <w:r w:rsidRPr="0034148C">
        <w:t xml:space="preserve">Civil Society program, is a summary of the study conducted </w:t>
      </w:r>
      <w:r w:rsidR="000E09D4" w:rsidRPr="00454748">
        <w:t xml:space="preserve">by </w:t>
      </w:r>
      <w:r w:rsidR="000E09D4">
        <w:t>Fleur</w:t>
      </w:r>
      <w:r w:rsidR="00454748">
        <w:t xml:space="preserve"> Just</w:t>
      </w:r>
      <w:r w:rsidR="00B707E2" w:rsidRPr="0034148C">
        <w:t xml:space="preserve"> in </w:t>
      </w:r>
      <w:r w:rsidR="00576437">
        <w:t>January</w:t>
      </w:r>
      <w:r w:rsidR="00454748">
        <w:t xml:space="preserve"> 2011. </w:t>
      </w:r>
      <w:r w:rsidR="00D4293D" w:rsidRPr="0034148C">
        <w:t xml:space="preserve">Section 7, the evaluation of the Capacity Building of Children and Adolescents program, is a summary of the study conducted </w:t>
      </w:r>
      <w:r w:rsidR="000E09D4" w:rsidRPr="0034148C">
        <w:t xml:space="preserve">by </w:t>
      </w:r>
      <w:r w:rsidR="000E09D4" w:rsidRPr="00454748">
        <w:t>Natia</w:t>
      </w:r>
      <w:r w:rsidR="00454748" w:rsidRPr="00454748">
        <w:t xml:space="preserve"> Rukhadze</w:t>
      </w:r>
      <w:r w:rsidR="00454748">
        <w:t xml:space="preserve"> in </w:t>
      </w:r>
      <w:r w:rsidR="00576437">
        <w:t>March</w:t>
      </w:r>
      <w:r w:rsidR="00454748">
        <w:t xml:space="preserve"> 2012</w:t>
      </w:r>
      <w:r w:rsidR="00D4293D" w:rsidRPr="0034148C">
        <w:t>.</w:t>
      </w:r>
      <w:r w:rsidR="00CA518A" w:rsidRPr="0034148C">
        <w:t xml:space="preserve"> The remaining sections of the report were prepared by Kerry Richter based on </w:t>
      </w:r>
      <w:r w:rsidR="00FE1972" w:rsidRPr="0034148C">
        <w:t>an eva</w:t>
      </w:r>
      <w:r w:rsidR="00D27ECA" w:rsidRPr="0034148C">
        <w:t>luation of the Income Generation</w:t>
      </w:r>
      <w:r w:rsidR="00FE1972" w:rsidRPr="0034148C">
        <w:t xml:space="preserve"> components</w:t>
      </w:r>
      <w:r w:rsidR="00D27ECA" w:rsidRPr="0034148C">
        <w:t xml:space="preserve">, the Infrastructure Grants component, and the </w:t>
      </w:r>
      <w:r w:rsidR="00D27ECA" w:rsidRPr="0034148C">
        <w:rPr>
          <w:bCs/>
        </w:rPr>
        <w:t>Improving Service Delivery by Governments</w:t>
      </w:r>
      <w:r w:rsidR="00FE1972" w:rsidRPr="0034148C">
        <w:rPr>
          <w:bCs/>
        </w:rPr>
        <w:t xml:space="preserve"> </w:t>
      </w:r>
      <w:r w:rsidR="00D27ECA" w:rsidRPr="0034148C">
        <w:rPr>
          <w:bCs/>
        </w:rPr>
        <w:t>component</w:t>
      </w:r>
      <w:r w:rsidR="00FE1972" w:rsidRPr="0034148C">
        <w:t xml:space="preserve"> that was conducted in June 2012.</w:t>
      </w:r>
      <w:r w:rsidR="00D27ECA" w:rsidRPr="0034148C">
        <w:t xml:space="preserve"> </w:t>
      </w:r>
      <w:r w:rsidR="00CC415E">
        <w:t xml:space="preserve">The </w:t>
      </w:r>
      <w:r w:rsidR="00D27ECA" w:rsidRPr="0034148C">
        <w:t>Terms of Refere</w:t>
      </w:r>
      <w:r w:rsidR="00576437">
        <w:t xml:space="preserve">nce for the final evaluation </w:t>
      </w:r>
      <w:r w:rsidR="00CC415E">
        <w:t>are</w:t>
      </w:r>
      <w:r w:rsidR="00D27ECA" w:rsidRPr="0034148C">
        <w:t xml:space="preserve"> </w:t>
      </w:r>
      <w:r w:rsidR="00CC415E">
        <w:t>included</w:t>
      </w:r>
      <w:r w:rsidR="00D27ECA" w:rsidRPr="0034148C">
        <w:t xml:space="preserve"> in Annex 1.</w:t>
      </w:r>
    </w:p>
    <w:p w:rsidR="00F42E63" w:rsidRPr="0034148C" w:rsidRDefault="00D27ECA" w:rsidP="00F42E63">
      <w:pPr>
        <w:rPr>
          <w:lang w:bidi="th-TH"/>
        </w:rPr>
      </w:pPr>
      <w:r w:rsidRPr="0034148C">
        <w:t xml:space="preserve">The author would like </w:t>
      </w:r>
      <w:r w:rsidR="00CB2A4B" w:rsidRPr="0034148C">
        <w:t xml:space="preserve">to thank Nino Tsiklauri who served as the interviewer and translator for the final evaluation; </w:t>
      </w:r>
      <w:r w:rsidR="004A195F" w:rsidRPr="0034148C">
        <w:t xml:space="preserve">Mariam Dalakishvili and Nino Rcheulishvili of Ilia State University who conducted the focus group discussions; and Sofia </w:t>
      </w:r>
      <w:r w:rsidR="0014161F" w:rsidRPr="0034148C">
        <w:t>Chanturishvili and Dato Tsabutashvili</w:t>
      </w:r>
      <w:r w:rsidR="0060571C" w:rsidRPr="0034148C">
        <w:t xml:space="preserve"> who facilitated the research.</w:t>
      </w:r>
      <w:r w:rsidR="00F42E63" w:rsidRPr="0034148C">
        <w:t xml:space="preserve"> </w:t>
      </w:r>
      <w:r w:rsidRPr="0034148C">
        <w:t>CARE staff in Tbilisi</w:t>
      </w:r>
      <w:r w:rsidR="00F42E63" w:rsidRPr="0034148C">
        <w:t xml:space="preserve"> and Gori,</w:t>
      </w:r>
      <w:r w:rsidRPr="0034148C">
        <w:t xml:space="preserve"> including</w:t>
      </w:r>
      <w:r w:rsidR="00CB2A4B" w:rsidRPr="0034148C">
        <w:t xml:space="preserve"> Th</w:t>
      </w:r>
      <w:r w:rsidR="00F42E63" w:rsidRPr="0034148C">
        <w:t xml:space="preserve">omas Reynolds, Vakhtang Piranishvili, Maia Giorbelidze, </w:t>
      </w:r>
      <w:r w:rsidR="00C70619" w:rsidRPr="0034148C">
        <w:rPr>
          <w:lang w:bidi="th-TH"/>
        </w:rPr>
        <w:t>Zhuzhuna Dekanosidze</w:t>
      </w:r>
      <w:r w:rsidR="0076700B">
        <w:rPr>
          <w:lang w:bidi="th-TH"/>
        </w:rPr>
        <w:t xml:space="preserve">, </w:t>
      </w:r>
      <w:r w:rsidR="003C3E88">
        <w:rPr>
          <w:lang w:bidi="th-TH"/>
        </w:rPr>
        <w:t xml:space="preserve">Murman </w:t>
      </w:r>
      <w:proofErr w:type="spellStart"/>
      <w:r w:rsidR="003C3E88">
        <w:rPr>
          <w:lang w:bidi="th-TH"/>
        </w:rPr>
        <w:t>Mikaberidze</w:t>
      </w:r>
      <w:proofErr w:type="spellEnd"/>
      <w:r w:rsidR="00FA15BF">
        <w:rPr>
          <w:lang w:bidi="th-TH"/>
        </w:rPr>
        <w:t xml:space="preserve">, </w:t>
      </w:r>
      <w:r w:rsidR="00F42E63" w:rsidRPr="0034148C">
        <w:rPr>
          <w:lang w:bidi="th-TH"/>
        </w:rPr>
        <w:t>Shota Chilindrishvili</w:t>
      </w:r>
      <w:r w:rsidR="00C70619" w:rsidRPr="0034148C">
        <w:rPr>
          <w:lang w:bidi="th-TH"/>
        </w:rPr>
        <w:t xml:space="preserve"> </w:t>
      </w:r>
      <w:r w:rsidR="0076700B">
        <w:rPr>
          <w:lang w:bidi="th-TH"/>
        </w:rPr>
        <w:t xml:space="preserve">and many others who </w:t>
      </w:r>
      <w:r w:rsidR="00C70619" w:rsidRPr="0034148C">
        <w:rPr>
          <w:lang w:bidi="th-TH"/>
        </w:rPr>
        <w:t xml:space="preserve">provided invaluable support and guidance in conducting the evaluation. </w:t>
      </w:r>
      <w:r w:rsidR="00155314" w:rsidRPr="0034148C">
        <w:rPr>
          <w:lang w:bidi="th-TH"/>
        </w:rPr>
        <w:t>Lastly,</w:t>
      </w:r>
      <w:r w:rsidR="00C70619" w:rsidRPr="0034148C">
        <w:rPr>
          <w:lang w:bidi="th-TH"/>
        </w:rPr>
        <w:t xml:space="preserve"> the research team would like to thank all of the focus group participants and interviewees who contributed their valuable time to this evaluation study.</w:t>
      </w:r>
    </w:p>
    <w:p w:rsidR="00F42E63" w:rsidRPr="0034148C" w:rsidRDefault="00F42E63" w:rsidP="00F42E63">
      <w:pPr>
        <w:rPr>
          <w:lang w:bidi="th-TH"/>
        </w:rPr>
      </w:pPr>
    </w:p>
    <w:p w:rsidR="00555BE4" w:rsidRPr="0034148C" w:rsidRDefault="00555BE4" w:rsidP="00555BE4">
      <w:pPr>
        <w:rPr>
          <w:rFonts w:ascii="Tw Cen MT" w:eastAsiaTheme="majorEastAsia" w:hAnsi="Tw Cen MT" w:cstheme="majorBidi"/>
          <w:color w:val="42557F" w:themeColor="accent5" w:themeShade="80"/>
          <w:sz w:val="28"/>
        </w:rPr>
      </w:pPr>
      <w:r w:rsidRPr="0034148C">
        <w:br w:type="page"/>
      </w:r>
    </w:p>
    <w:p w:rsidR="00D801DE" w:rsidRPr="0034148C" w:rsidRDefault="00835BAB" w:rsidP="00555BE4">
      <w:pPr>
        <w:pStyle w:val="Heading1"/>
      </w:pPr>
      <w:bookmarkStart w:id="15" w:name="_Toc338325581"/>
      <w:bookmarkStart w:id="16" w:name="_Toc338572105"/>
      <w:bookmarkStart w:id="17" w:name="_Toc338717113"/>
      <w:bookmarkStart w:id="18" w:name="_Toc338750144"/>
      <w:bookmarkStart w:id="19" w:name="_Toc339368737"/>
      <w:r w:rsidRPr="0034148C">
        <w:lastRenderedPageBreak/>
        <w:t xml:space="preserve">Table of </w:t>
      </w:r>
      <w:r w:rsidR="00BA5DC5" w:rsidRPr="0034148C">
        <w:t>C</w:t>
      </w:r>
      <w:r w:rsidRPr="0034148C">
        <w:t>ontents</w:t>
      </w:r>
      <w:bookmarkEnd w:id="15"/>
      <w:bookmarkEnd w:id="16"/>
      <w:bookmarkEnd w:id="17"/>
      <w:bookmarkEnd w:id="18"/>
      <w:bookmarkEnd w:id="19"/>
    </w:p>
    <w:p w:rsidR="00507BA2" w:rsidRDefault="00951551">
      <w:pPr>
        <w:pStyle w:val="TOC1"/>
        <w:tabs>
          <w:tab w:val="right" w:leader="dot" w:pos="9350"/>
        </w:tabs>
        <w:rPr>
          <w:rFonts w:asciiTheme="minorHAnsi" w:eastAsiaTheme="minorEastAsia" w:hAnsiTheme="minorHAnsi"/>
          <w:noProof/>
          <w:szCs w:val="28"/>
          <w:lang w:bidi="th-TH"/>
        </w:rPr>
      </w:pPr>
      <w:r>
        <w:fldChar w:fldCharType="begin"/>
      </w:r>
      <w:r w:rsidR="00507BA2">
        <w:instrText xml:space="preserve"> TOC \o "1-3" \u </w:instrText>
      </w:r>
      <w:r>
        <w:fldChar w:fldCharType="separate"/>
      </w:r>
      <w:r w:rsidR="00507BA2">
        <w:rPr>
          <w:noProof/>
        </w:rPr>
        <w:t>Executive Summary</w:t>
      </w:r>
      <w:r w:rsidR="00507BA2">
        <w:rPr>
          <w:noProof/>
        </w:rPr>
        <w:tab/>
      </w:r>
      <w:r>
        <w:rPr>
          <w:noProof/>
        </w:rPr>
        <w:fldChar w:fldCharType="begin"/>
      </w:r>
      <w:r w:rsidR="00507BA2">
        <w:rPr>
          <w:noProof/>
        </w:rPr>
        <w:instrText xml:space="preserve"> PAGEREF _Toc339368734 \h </w:instrText>
      </w:r>
      <w:r>
        <w:rPr>
          <w:noProof/>
        </w:rPr>
      </w:r>
      <w:r>
        <w:rPr>
          <w:noProof/>
        </w:rPr>
        <w:fldChar w:fldCharType="separate"/>
      </w:r>
      <w:r w:rsidR="00507BA2">
        <w:rPr>
          <w:noProof/>
        </w:rPr>
        <w:t>i</w:t>
      </w:r>
      <w:r>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Acronyms &amp; Abbreviations</w:t>
      </w:r>
      <w:r>
        <w:rPr>
          <w:noProof/>
        </w:rPr>
        <w:tab/>
      </w:r>
      <w:r w:rsidR="00951551">
        <w:rPr>
          <w:noProof/>
        </w:rPr>
        <w:fldChar w:fldCharType="begin"/>
      </w:r>
      <w:r>
        <w:rPr>
          <w:noProof/>
        </w:rPr>
        <w:instrText xml:space="preserve"> PAGEREF _Toc339368735 \h </w:instrText>
      </w:r>
      <w:r w:rsidR="00951551">
        <w:rPr>
          <w:noProof/>
        </w:rPr>
      </w:r>
      <w:r w:rsidR="00951551">
        <w:rPr>
          <w:noProof/>
        </w:rPr>
        <w:fldChar w:fldCharType="separate"/>
      </w:r>
      <w:r>
        <w:rPr>
          <w:noProof/>
        </w:rPr>
        <w:t>v</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Acknowledgments</w:t>
      </w:r>
      <w:r>
        <w:rPr>
          <w:noProof/>
        </w:rPr>
        <w:tab/>
      </w:r>
      <w:r w:rsidR="00951551">
        <w:rPr>
          <w:noProof/>
        </w:rPr>
        <w:fldChar w:fldCharType="begin"/>
      </w:r>
      <w:r>
        <w:rPr>
          <w:noProof/>
        </w:rPr>
        <w:instrText xml:space="preserve"> PAGEREF _Toc339368736 \h </w:instrText>
      </w:r>
      <w:r w:rsidR="00951551">
        <w:rPr>
          <w:noProof/>
        </w:rPr>
      </w:r>
      <w:r w:rsidR="00951551">
        <w:rPr>
          <w:noProof/>
        </w:rPr>
        <w:fldChar w:fldCharType="separate"/>
      </w:r>
      <w:r>
        <w:rPr>
          <w:noProof/>
        </w:rPr>
        <w:t>vi</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Table of Contents</w:t>
      </w:r>
      <w:r>
        <w:rPr>
          <w:noProof/>
        </w:rPr>
        <w:tab/>
      </w:r>
      <w:r w:rsidR="00951551">
        <w:rPr>
          <w:noProof/>
        </w:rPr>
        <w:fldChar w:fldCharType="begin"/>
      </w:r>
      <w:r>
        <w:rPr>
          <w:noProof/>
        </w:rPr>
        <w:instrText xml:space="preserve"> PAGEREF _Toc339368737 \h </w:instrText>
      </w:r>
      <w:r w:rsidR="00951551">
        <w:rPr>
          <w:noProof/>
        </w:rPr>
      </w:r>
      <w:r w:rsidR="00951551">
        <w:rPr>
          <w:noProof/>
        </w:rPr>
        <w:fldChar w:fldCharType="separate"/>
      </w:r>
      <w:r>
        <w:rPr>
          <w:noProof/>
        </w:rPr>
        <w:t>vii</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List of Figures</w:t>
      </w:r>
      <w:r>
        <w:rPr>
          <w:noProof/>
        </w:rPr>
        <w:tab/>
      </w:r>
      <w:r w:rsidR="00951551">
        <w:rPr>
          <w:noProof/>
        </w:rPr>
        <w:fldChar w:fldCharType="begin"/>
      </w:r>
      <w:r>
        <w:rPr>
          <w:noProof/>
        </w:rPr>
        <w:instrText xml:space="preserve"> PAGEREF _Toc339368738 \h </w:instrText>
      </w:r>
      <w:r w:rsidR="00951551">
        <w:rPr>
          <w:noProof/>
        </w:rPr>
      </w:r>
      <w:r w:rsidR="00951551">
        <w:rPr>
          <w:noProof/>
        </w:rPr>
        <w:fldChar w:fldCharType="separate"/>
      </w:r>
      <w:r>
        <w:rPr>
          <w:noProof/>
        </w:rPr>
        <w:t>x</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List of Tables</w:t>
      </w:r>
      <w:r>
        <w:rPr>
          <w:noProof/>
        </w:rPr>
        <w:tab/>
      </w:r>
      <w:r w:rsidR="00951551">
        <w:rPr>
          <w:noProof/>
        </w:rPr>
        <w:fldChar w:fldCharType="begin"/>
      </w:r>
      <w:r>
        <w:rPr>
          <w:noProof/>
        </w:rPr>
        <w:instrText xml:space="preserve"> PAGEREF _Toc339368739 \h </w:instrText>
      </w:r>
      <w:r w:rsidR="00951551">
        <w:rPr>
          <w:noProof/>
        </w:rPr>
      </w:r>
      <w:r w:rsidR="00951551">
        <w:rPr>
          <w:noProof/>
        </w:rPr>
        <w:fldChar w:fldCharType="separate"/>
      </w:r>
      <w:r>
        <w:rPr>
          <w:noProof/>
        </w:rPr>
        <w:t>xi</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1. Introduction</w:t>
      </w:r>
      <w:r>
        <w:rPr>
          <w:noProof/>
        </w:rPr>
        <w:tab/>
      </w:r>
      <w:r w:rsidR="00951551">
        <w:rPr>
          <w:noProof/>
        </w:rPr>
        <w:fldChar w:fldCharType="begin"/>
      </w:r>
      <w:r>
        <w:rPr>
          <w:noProof/>
        </w:rPr>
        <w:instrText xml:space="preserve"> PAGEREF _Toc339368740 \h </w:instrText>
      </w:r>
      <w:r w:rsidR="00951551">
        <w:rPr>
          <w:noProof/>
        </w:rPr>
      </w:r>
      <w:r w:rsidR="00951551">
        <w:rPr>
          <w:noProof/>
        </w:rPr>
        <w:fldChar w:fldCharType="separate"/>
      </w:r>
      <w:r>
        <w:rPr>
          <w:noProof/>
        </w:rPr>
        <w:t>1</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2. Methods</w:t>
      </w:r>
      <w:r>
        <w:rPr>
          <w:noProof/>
        </w:rPr>
        <w:tab/>
      </w:r>
      <w:r w:rsidR="00951551">
        <w:rPr>
          <w:noProof/>
        </w:rPr>
        <w:fldChar w:fldCharType="begin"/>
      </w:r>
      <w:r>
        <w:rPr>
          <w:noProof/>
        </w:rPr>
        <w:instrText xml:space="preserve"> PAGEREF _Toc339368741 \h </w:instrText>
      </w:r>
      <w:r w:rsidR="00951551">
        <w:rPr>
          <w:noProof/>
        </w:rPr>
      </w:r>
      <w:r w:rsidR="00951551">
        <w:rPr>
          <w:noProof/>
        </w:rPr>
        <w:fldChar w:fldCharType="separate"/>
      </w:r>
      <w:r>
        <w:rPr>
          <w:noProof/>
        </w:rPr>
        <w:t>2</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2.1 Methods used for evaluation of the Support to Civil Society program</w:t>
      </w:r>
      <w:r>
        <w:rPr>
          <w:noProof/>
        </w:rPr>
        <w:tab/>
      </w:r>
      <w:r w:rsidR="00951551">
        <w:rPr>
          <w:noProof/>
        </w:rPr>
        <w:fldChar w:fldCharType="begin"/>
      </w:r>
      <w:r>
        <w:rPr>
          <w:noProof/>
        </w:rPr>
        <w:instrText xml:space="preserve"> PAGEREF _Toc339368742 \h </w:instrText>
      </w:r>
      <w:r w:rsidR="00951551">
        <w:rPr>
          <w:noProof/>
        </w:rPr>
      </w:r>
      <w:r w:rsidR="00951551">
        <w:rPr>
          <w:noProof/>
        </w:rPr>
        <w:fldChar w:fldCharType="separate"/>
      </w:r>
      <w:r>
        <w:rPr>
          <w:noProof/>
        </w:rPr>
        <w:t>3</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2.1.1 Measurement of IDP integration</w:t>
      </w:r>
      <w:r>
        <w:rPr>
          <w:noProof/>
        </w:rPr>
        <w:tab/>
      </w:r>
      <w:r w:rsidR="00951551">
        <w:rPr>
          <w:noProof/>
        </w:rPr>
        <w:fldChar w:fldCharType="begin"/>
      </w:r>
      <w:r>
        <w:rPr>
          <w:noProof/>
        </w:rPr>
        <w:instrText xml:space="preserve"> PAGEREF _Toc339368743 \h </w:instrText>
      </w:r>
      <w:r w:rsidR="00951551">
        <w:rPr>
          <w:noProof/>
        </w:rPr>
      </w:r>
      <w:r w:rsidR="00951551">
        <w:rPr>
          <w:noProof/>
        </w:rPr>
        <w:fldChar w:fldCharType="separate"/>
      </w:r>
      <w:r>
        <w:rPr>
          <w:noProof/>
        </w:rPr>
        <w:t>3</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2.1.2 Measurement of capacity building</w:t>
      </w:r>
      <w:r>
        <w:rPr>
          <w:noProof/>
        </w:rPr>
        <w:tab/>
      </w:r>
      <w:r w:rsidR="00951551">
        <w:rPr>
          <w:noProof/>
        </w:rPr>
        <w:fldChar w:fldCharType="begin"/>
      </w:r>
      <w:r>
        <w:rPr>
          <w:noProof/>
        </w:rPr>
        <w:instrText xml:space="preserve"> PAGEREF _Toc339368744 \h </w:instrText>
      </w:r>
      <w:r w:rsidR="00951551">
        <w:rPr>
          <w:noProof/>
        </w:rPr>
      </w:r>
      <w:r w:rsidR="00951551">
        <w:rPr>
          <w:noProof/>
        </w:rPr>
        <w:fldChar w:fldCharType="separate"/>
      </w:r>
      <w:r>
        <w:rPr>
          <w:noProof/>
        </w:rPr>
        <w:t>3</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2.1.3 Measurement of sustainability</w:t>
      </w:r>
      <w:r>
        <w:rPr>
          <w:noProof/>
        </w:rPr>
        <w:tab/>
      </w:r>
      <w:r w:rsidR="00951551">
        <w:rPr>
          <w:noProof/>
        </w:rPr>
        <w:fldChar w:fldCharType="begin"/>
      </w:r>
      <w:r>
        <w:rPr>
          <w:noProof/>
        </w:rPr>
        <w:instrText xml:space="preserve"> PAGEREF _Toc339368745 \h </w:instrText>
      </w:r>
      <w:r w:rsidR="00951551">
        <w:rPr>
          <w:noProof/>
        </w:rPr>
      </w:r>
      <w:r w:rsidR="00951551">
        <w:rPr>
          <w:noProof/>
        </w:rPr>
        <w:fldChar w:fldCharType="separate"/>
      </w:r>
      <w:r>
        <w:rPr>
          <w:noProof/>
        </w:rPr>
        <w:t>4</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2.2 Methods used to evaluate the Capacity Building of Children and Adolescents program</w:t>
      </w:r>
      <w:r>
        <w:rPr>
          <w:noProof/>
        </w:rPr>
        <w:tab/>
      </w:r>
      <w:r w:rsidR="00951551">
        <w:rPr>
          <w:noProof/>
        </w:rPr>
        <w:fldChar w:fldCharType="begin"/>
      </w:r>
      <w:r>
        <w:rPr>
          <w:noProof/>
        </w:rPr>
        <w:instrText xml:space="preserve"> PAGEREF _Toc339368746 \h </w:instrText>
      </w:r>
      <w:r w:rsidR="00951551">
        <w:rPr>
          <w:noProof/>
        </w:rPr>
      </w:r>
      <w:r w:rsidR="00951551">
        <w:rPr>
          <w:noProof/>
        </w:rPr>
        <w:fldChar w:fldCharType="separate"/>
      </w:r>
      <w:r>
        <w:rPr>
          <w:noProof/>
        </w:rPr>
        <w:t>4</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2.3 Methods used for final evaluation</w:t>
      </w:r>
      <w:r>
        <w:rPr>
          <w:noProof/>
        </w:rPr>
        <w:tab/>
      </w:r>
      <w:r w:rsidR="00951551">
        <w:rPr>
          <w:noProof/>
        </w:rPr>
        <w:fldChar w:fldCharType="begin"/>
      </w:r>
      <w:r>
        <w:rPr>
          <w:noProof/>
        </w:rPr>
        <w:instrText xml:space="preserve"> PAGEREF _Toc339368747 \h </w:instrText>
      </w:r>
      <w:r w:rsidR="00951551">
        <w:rPr>
          <w:noProof/>
        </w:rPr>
      </w:r>
      <w:r w:rsidR="00951551">
        <w:rPr>
          <w:noProof/>
        </w:rPr>
        <w:fldChar w:fldCharType="separate"/>
      </w:r>
      <w:r>
        <w:rPr>
          <w:noProof/>
        </w:rPr>
        <w:t>5</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2.3.1 Participant surveys</w:t>
      </w:r>
      <w:r>
        <w:rPr>
          <w:noProof/>
        </w:rPr>
        <w:tab/>
      </w:r>
      <w:r w:rsidR="00951551">
        <w:rPr>
          <w:noProof/>
        </w:rPr>
        <w:fldChar w:fldCharType="begin"/>
      </w:r>
      <w:r>
        <w:rPr>
          <w:noProof/>
        </w:rPr>
        <w:instrText xml:space="preserve"> PAGEREF _Toc339368748 \h </w:instrText>
      </w:r>
      <w:r w:rsidR="00951551">
        <w:rPr>
          <w:noProof/>
        </w:rPr>
      </w:r>
      <w:r w:rsidR="00951551">
        <w:rPr>
          <w:noProof/>
        </w:rPr>
        <w:fldChar w:fldCharType="separate"/>
      </w:r>
      <w:r>
        <w:rPr>
          <w:noProof/>
        </w:rPr>
        <w:t>5</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2.3.2 Focus group discussions</w:t>
      </w:r>
      <w:r>
        <w:rPr>
          <w:noProof/>
        </w:rPr>
        <w:tab/>
      </w:r>
      <w:r w:rsidR="00951551">
        <w:rPr>
          <w:noProof/>
        </w:rPr>
        <w:fldChar w:fldCharType="begin"/>
      </w:r>
      <w:r>
        <w:rPr>
          <w:noProof/>
        </w:rPr>
        <w:instrText xml:space="preserve"> PAGEREF _Toc339368749 \h </w:instrText>
      </w:r>
      <w:r w:rsidR="00951551">
        <w:rPr>
          <w:noProof/>
        </w:rPr>
      </w:r>
      <w:r w:rsidR="00951551">
        <w:rPr>
          <w:noProof/>
        </w:rPr>
        <w:fldChar w:fldCharType="separate"/>
      </w:r>
      <w:r>
        <w:rPr>
          <w:noProof/>
        </w:rPr>
        <w:t>5</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2.3.3 Individual and group interviews and site visits</w:t>
      </w:r>
      <w:r>
        <w:rPr>
          <w:noProof/>
        </w:rPr>
        <w:tab/>
      </w:r>
      <w:r w:rsidR="00951551">
        <w:rPr>
          <w:noProof/>
        </w:rPr>
        <w:fldChar w:fldCharType="begin"/>
      </w:r>
      <w:r>
        <w:rPr>
          <w:noProof/>
        </w:rPr>
        <w:instrText xml:space="preserve"> PAGEREF _Toc339368750 \h </w:instrText>
      </w:r>
      <w:r w:rsidR="00951551">
        <w:rPr>
          <w:noProof/>
        </w:rPr>
      </w:r>
      <w:r w:rsidR="00951551">
        <w:rPr>
          <w:noProof/>
        </w:rPr>
        <w:fldChar w:fldCharType="separate"/>
      </w:r>
      <w:r>
        <w:rPr>
          <w:noProof/>
        </w:rPr>
        <w:t>6</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3. Limitations of the Study</w:t>
      </w:r>
      <w:r>
        <w:rPr>
          <w:noProof/>
        </w:rPr>
        <w:tab/>
      </w:r>
      <w:r w:rsidR="00951551">
        <w:rPr>
          <w:noProof/>
        </w:rPr>
        <w:fldChar w:fldCharType="begin"/>
      </w:r>
      <w:r>
        <w:rPr>
          <w:noProof/>
        </w:rPr>
        <w:instrText xml:space="preserve"> PAGEREF _Toc339368751 \h </w:instrText>
      </w:r>
      <w:r w:rsidR="00951551">
        <w:rPr>
          <w:noProof/>
        </w:rPr>
      </w:r>
      <w:r w:rsidR="00951551">
        <w:rPr>
          <w:noProof/>
        </w:rPr>
        <w:fldChar w:fldCharType="separate"/>
      </w:r>
      <w:r>
        <w:rPr>
          <w:noProof/>
        </w:rPr>
        <w:t>6</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4. Component 1: Income Generation</w:t>
      </w:r>
      <w:r>
        <w:rPr>
          <w:noProof/>
        </w:rPr>
        <w:tab/>
      </w:r>
      <w:r w:rsidR="00951551">
        <w:rPr>
          <w:noProof/>
        </w:rPr>
        <w:fldChar w:fldCharType="begin"/>
      </w:r>
      <w:r>
        <w:rPr>
          <w:noProof/>
        </w:rPr>
        <w:instrText xml:space="preserve"> PAGEREF _Toc339368752 \h </w:instrText>
      </w:r>
      <w:r w:rsidR="00951551">
        <w:rPr>
          <w:noProof/>
        </w:rPr>
      </w:r>
      <w:r w:rsidR="00951551">
        <w:rPr>
          <w:noProof/>
        </w:rPr>
        <w:fldChar w:fldCharType="separate"/>
      </w:r>
      <w:r>
        <w:rPr>
          <w:noProof/>
        </w:rPr>
        <w:t>7</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4.1 Agricultural Machinery Groups</w:t>
      </w:r>
      <w:r>
        <w:rPr>
          <w:noProof/>
        </w:rPr>
        <w:tab/>
      </w:r>
      <w:r w:rsidR="00951551">
        <w:rPr>
          <w:noProof/>
        </w:rPr>
        <w:fldChar w:fldCharType="begin"/>
      </w:r>
      <w:r>
        <w:rPr>
          <w:noProof/>
        </w:rPr>
        <w:instrText xml:space="preserve"> PAGEREF _Toc339368753 \h </w:instrText>
      </w:r>
      <w:r w:rsidR="00951551">
        <w:rPr>
          <w:noProof/>
        </w:rPr>
      </w:r>
      <w:r w:rsidR="00951551">
        <w:rPr>
          <w:noProof/>
        </w:rPr>
        <w:fldChar w:fldCharType="separate"/>
      </w:r>
      <w:r>
        <w:rPr>
          <w:noProof/>
        </w:rPr>
        <w:t>7</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4.1.1 Achievements of the program</w:t>
      </w:r>
      <w:r>
        <w:rPr>
          <w:noProof/>
        </w:rPr>
        <w:tab/>
      </w:r>
      <w:r w:rsidR="00951551">
        <w:rPr>
          <w:noProof/>
        </w:rPr>
        <w:fldChar w:fldCharType="begin"/>
      </w:r>
      <w:r>
        <w:rPr>
          <w:noProof/>
        </w:rPr>
        <w:instrText xml:space="preserve"> PAGEREF _Toc339368754 \h </w:instrText>
      </w:r>
      <w:r w:rsidR="00951551">
        <w:rPr>
          <w:noProof/>
        </w:rPr>
      </w:r>
      <w:r w:rsidR="00951551">
        <w:rPr>
          <w:noProof/>
        </w:rPr>
        <w:fldChar w:fldCharType="separate"/>
      </w:r>
      <w:r>
        <w:rPr>
          <w:noProof/>
        </w:rPr>
        <w:t>8</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4.1.2 Effectiveness of the program in raising incomes</w:t>
      </w:r>
      <w:r>
        <w:rPr>
          <w:noProof/>
        </w:rPr>
        <w:tab/>
      </w:r>
      <w:r w:rsidR="00951551">
        <w:rPr>
          <w:noProof/>
        </w:rPr>
        <w:fldChar w:fldCharType="begin"/>
      </w:r>
      <w:r>
        <w:rPr>
          <w:noProof/>
        </w:rPr>
        <w:instrText xml:space="preserve"> PAGEREF _Toc339368755 \h </w:instrText>
      </w:r>
      <w:r w:rsidR="00951551">
        <w:rPr>
          <w:noProof/>
        </w:rPr>
      </w:r>
      <w:r w:rsidR="00951551">
        <w:rPr>
          <w:noProof/>
        </w:rPr>
        <w:fldChar w:fldCharType="separate"/>
      </w:r>
      <w:r>
        <w:rPr>
          <w:noProof/>
        </w:rPr>
        <w:t>9</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4.1.4 Effectiveness of the program in promoting IDP integration</w:t>
      </w:r>
      <w:r>
        <w:rPr>
          <w:noProof/>
        </w:rPr>
        <w:tab/>
      </w:r>
      <w:r w:rsidR="00951551">
        <w:rPr>
          <w:noProof/>
        </w:rPr>
        <w:fldChar w:fldCharType="begin"/>
      </w:r>
      <w:r>
        <w:rPr>
          <w:noProof/>
        </w:rPr>
        <w:instrText xml:space="preserve"> PAGEREF _Toc339368756 \h </w:instrText>
      </w:r>
      <w:r w:rsidR="00951551">
        <w:rPr>
          <w:noProof/>
        </w:rPr>
      </w:r>
      <w:r w:rsidR="00951551">
        <w:rPr>
          <w:noProof/>
        </w:rPr>
        <w:fldChar w:fldCharType="separate"/>
      </w:r>
      <w:r>
        <w:rPr>
          <w:noProof/>
        </w:rPr>
        <w:t>12</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4.1.5 Challenges of the program</w:t>
      </w:r>
      <w:r>
        <w:rPr>
          <w:noProof/>
        </w:rPr>
        <w:tab/>
      </w:r>
      <w:r w:rsidR="00951551">
        <w:rPr>
          <w:noProof/>
        </w:rPr>
        <w:fldChar w:fldCharType="begin"/>
      </w:r>
      <w:r>
        <w:rPr>
          <w:noProof/>
        </w:rPr>
        <w:instrText xml:space="preserve"> PAGEREF _Toc339368757 \h </w:instrText>
      </w:r>
      <w:r w:rsidR="00951551">
        <w:rPr>
          <w:noProof/>
        </w:rPr>
      </w:r>
      <w:r w:rsidR="00951551">
        <w:rPr>
          <w:noProof/>
        </w:rPr>
        <w:fldChar w:fldCharType="separate"/>
      </w:r>
      <w:r>
        <w:rPr>
          <w:noProof/>
        </w:rPr>
        <w:t>13</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4.1.5 Sustainability of the program</w:t>
      </w:r>
      <w:r>
        <w:rPr>
          <w:noProof/>
        </w:rPr>
        <w:tab/>
      </w:r>
      <w:r w:rsidR="00951551">
        <w:rPr>
          <w:noProof/>
        </w:rPr>
        <w:fldChar w:fldCharType="begin"/>
      </w:r>
      <w:r>
        <w:rPr>
          <w:noProof/>
        </w:rPr>
        <w:instrText xml:space="preserve"> PAGEREF _Toc339368758 \h </w:instrText>
      </w:r>
      <w:r w:rsidR="00951551">
        <w:rPr>
          <w:noProof/>
        </w:rPr>
      </w:r>
      <w:r w:rsidR="00951551">
        <w:rPr>
          <w:noProof/>
        </w:rPr>
        <w:fldChar w:fldCharType="separate"/>
      </w:r>
      <w:r>
        <w:rPr>
          <w:noProof/>
        </w:rPr>
        <w:t>13</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4.1.6 Summary of the Agricultural Machinery program evaluation</w:t>
      </w:r>
      <w:r>
        <w:rPr>
          <w:noProof/>
        </w:rPr>
        <w:tab/>
      </w:r>
      <w:r w:rsidR="00951551">
        <w:rPr>
          <w:noProof/>
        </w:rPr>
        <w:fldChar w:fldCharType="begin"/>
      </w:r>
      <w:r>
        <w:rPr>
          <w:noProof/>
        </w:rPr>
        <w:instrText xml:space="preserve"> PAGEREF _Toc339368759 \h </w:instrText>
      </w:r>
      <w:r w:rsidR="00951551">
        <w:rPr>
          <w:noProof/>
        </w:rPr>
      </w:r>
      <w:r w:rsidR="00951551">
        <w:rPr>
          <w:noProof/>
        </w:rPr>
        <w:fldChar w:fldCharType="separate"/>
      </w:r>
      <w:r>
        <w:rPr>
          <w:noProof/>
        </w:rPr>
        <w:t>13</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4.2 Grants to Women Entrepreneurs</w:t>
      </w:r>
      <w:r>
        <w:rPr>
          <w:noProof/>
        </w:rPr>
        <w:tab/>
      </w:r>
      <w:r w:rsidR="00951551">
        <w:rPr>
          <w:noProof/>
        </w:rPr>
        <w:fldChar w:fldCharType="begin"/>
      </w:r>
      <w:r>
        <w:rPr>
          <w:noProof/>
        </w:rPr>
        <w:instrText xml:space="preserve"> PAGEREF _Toc339368760 \h </w:instrText>
      </w:r>
      <w:r w:rsidR="00951551">
        <w:rPr>
          <w:noProof/>
        </w:rPr>
      </w:r>
      <w:r w:rsidR="00951551">
        <w:rPr>
          <w:noProof/>
        </w:rPr>
        <w:fldChar w:fldCharType="separate"/>
      </w:r>
      <w:r>
        <w:rPr>
          <w:noProof/>
        </w:rPr>
        <w:t>14</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4.2.1 Achievements of the program</w:t>
      </w:r>
      <w:r>
        <w:rPr>
          <w:noProof/>
        </w:rPr>
        <w:tab/>
      </w:r>
      <w:r w:rsidR="00951551">
        <w:rPr>
          <w:noProof/>
        </w:rPr>
        <w:fldChar w:fldCharType="begin"/>
      </w:r>
      <w:r>
        <w:rPr>
          <w:noProof/>
        </w:rPr>
        <w:instrText xml:space="preserve"> PAGEREF _Toc339368761 \h </w:instrText>
      </w:r>
      <w:r w:rsidR="00951551">
        <w:rPr>
          <w:noProof/>
        </w:rPr>
      </w:r>
      <w:r w:rsidR="00951551">
        <w:rPr>
          <w:noProof/>
        </w:rPr>
        <w:fldChar w:fldCharType="separate"/>
      </w:r>
      <w:r>
        <w:rPr>
          <w:noProof/>
        </w:rPr>
        <w:t>14</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4.2.2 Effectiveness of the program in raising incomes</w:t>
      </w:r>
      <w:r>
        <w:rPr>
          <w:noProof/>
        </w:rPr>
        <w:tab/>
      </w:r>
      <w:r w:rsidR="00951551">
        <w:rPr>
          <w:noProof/>
        </w:rPr>
        <w:fldChar w:fldCharType="begin"/>
      </w:r>
      <w:r>
        <w:rPr>
          <w:noProof/>
        </w:rPr>
        <w:instrText xml:space="preserve"> PAGEREF _Toc339368762 \h </w:instrText>
      </w:r>
      <w:r w:rsidR="00951551">
        <w:rPr>
          <w:noProof/>
        </w:rPr>
      </w:r>
      <w:r w:rsidR="00951551">
        <w:rPr>
          <w:noProof/>
        </w:rPr>
        <w:fldChar w:fldCharType="separate"/>
      </w:r>
      <w:r>
        <w:rPr>
          <w:noProof/>
        </w:rPr>
        <w:t>17</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4.2.3 Effectiveness of the program in skills building, empowering women and modeling entrepreneurship</w:t>
      </w:r>
      <w:r>
        <w:rPr>
          <w:noProof/>
        </w:rPr>
        <w:tab/>
      </w:r>
      <w:r w:rsidR="00951551">
        <w:rPr>
          <w:noProof/>
        </w:rPr>
        <w:fldChar w:fldCharType="begin"/>
      </w:r>
      <w:r>
        <w:rPr>
          <w:noProof/>
        </w:rPr>
        <w:instrText xml:space="preserve"> PAGEREF _Toc339368763 \h </w:instrText>
      </w:r>
      <w:r w:rsidR="00951551">
        <w:rPr>
          <w:noProof/>
        </w:rPr>
      </w:r>
      <w:r w:rsidR="00951551">
        <w:rPr>
          <w:noProof/>
        </w:rPr>
        <w:fldChar w:fldCharType="separate"/>
      </w:r>
      <w:r>
        <w:rPr>
          <w:noProof/>
        </w:rPr>
        <w:t>18</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4.2.4 Effectiveness of the program integrating IDPs with the local communities</w:t>
      </w:r>
      <w:r>
        <w:rPr>
          <w:noProof/>
        </w:rPr>
        <w:tab/>
      </w:r>
      <w:r w:rsidR="00951551">
        <w:rPr>
          <w:noProof/>
        </w:rPr>
        <w:fldChar w:fldCharType="begin"/>
      </w:r>
      <w:r>
        <w:rPr>
          <w:noProof/>
        </w:rPr>
        <w:instrText xml:space="preserve"> PAGEREF _Toc339368764 \h </w:instrText>
      </w:r>
      <w:r w:rsidR="00951551">
        <w:rPr>
          <w:noProof/>
        </w:rPr>
      </w:r>
      <w:r w:rsidR="00951551">
        <w:rPr>
          <w:noProof/>
        </w:rPr>
        <w:fldChar w:fldCharType="separate"/>
      </w:r>
      <w:r>
        <w:rPr>
          <w:noProof/>
        </w:rPr>
        <w:t>22</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lastRenderedPageBreak/>
        <w:t>4.2.5 Challenges of the program</w:t>
      </w:r>
      <w:r>
        <w:rPr>
          <w:noProof/>
        </w:rPr>
        <w:tab/>
      </w:r>
      <w:r w:rsidR="00951551">
        <w:rPr>
          <w:noProof/>
        </w:rPr>
        <w:fldChar w:fldCharType="begin"/>
      </w:r>
      <w:r>
        <w:rPr>
          <w:noProof/>
        </w:rPr>
        <w:instrText xml:space="preserve"> PAGEREF _Toc339368765 \h </w:instrText>
      </w:r>
      <w:r w:rsidR="00951551">
        <w:rPr>
          <w:noProof/>
        </w:rPr>
      </w:r>
      <w:r w:rsidR="00951551">
        <w:rPr>
          <w:noProof/>
        </w:rPr>
        <w:fldChar w:fldCharType="separate"/>
      </w:r>
      <w:r>
        <w:rPr>
          <w:noProof/>
        </w:rPr>
        <w:t>24</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4.2.6 Sustainability</w:t>
      </w:r>
      <w:r>
        <w:rPr>
          <w:noProof/>
        </w:rPr>
        <w:tab/>
      </w:r>
      <w:r w:rsidR="00951551">
        <w:rPr>
          <w:noProof/>
        </w:rPr>
        <w:fldChar w:fldCharType="begin"/>
      </w:r>
      <w:r>
        <w:rPr>
          <w:noProof/>
        </w:rPr>
        <w:instrText xml:space="preserve"> PAGEREF _Toc339368766 \h </w:instrText>
      </w:r>
      <w:r w:rsidR="00951551">
        <w:rPr>
          <w:noProof/>
        </w:rPr>
      </w:r>
      <w:r w:rsidR="00951551">
        <w:rPr>
          <w:noProof/>
        </w:rPr>
        <w:fldChar w:fldCharType="separate"/>
      </w:r>
      <w:r>
        <w:rPr>
          <w:noProof/>
        </w:rPr>
        <w:t>25</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4.2.7 Summary</w:t>
      </w:r>
      <w:r>
        <w:rPr>
          <w:noProof/>
        </w:rPr>
        <w:tab/>
      </w:r>
      <w:r w:rsidR="00951551">
        <w:rPr>
          <w:noProof/>
        </w:rPr>
        <w:fldChar w:fldCharType="begin"/>
      </w:r>
      <w:r>
        <w:rPr>
          <w:noProof/>
        </w:rPr>
        <w:instrText xml:space="preserve"> PAGEREF _Toc339368767 \h </w:instrText>
      </w:r>
      <w:r w:rsidR="00951551">
        <w:rPr>
          <w:noProof/>
        </w:rPr>
      </w:r>
      <w:r w:rsidR="00951551">
        <w:rPr>
          <w:noProof/>
        </w:rPr>
        <w:fldChar w:fldCharType="separate"/>
      </w:r>
      <w:r>
        <w:rPr>
          <w:noProof/>
        </w:rPr>
        <w:t>25</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4.3 Grants for Jobs Scheme</w:t>
      </w:r>
      <w:r>
        <w:rPr>
          <w:noProof/>
        </w:rPr>
        <w:tab/>
      </w:r>
      <w:r w:rsidR="00951551">
        <w:rPr>
          <w:noProof/>
        </w:rPr>
        <w:fldChar w:fldCharType="begin"/>
      </w:r>
      <w:r>
        <w:rPr>
          <w:noProof/>
        </w:rPr>
        <w:instrText xml:space="preserve"> PAGEREF _Toc339368768 \h </w:instrText>
      </w:r>
      <w:r w:rsidR="00951551">
        <w:rPr>
          <w:noProof/>
        </w:rPr>
      </w:r>
      <w:r w:rsidR="00951551">
        <w:rPr>
          <w:noProof/>
        </w:rPr>
        <w:fldChar w:fldCharType="separate"/>
      </w:r>
      <w:r>
        <w:rPr>
          <w:noProof/>
        </w:rPr>
        <w:t>25</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4.3.1 Achievements of the program</w:t>
      </w:r>
      <w:r>
        <w:rPr>
          <w:noProof/>
        </w:rPr>
        <w:tab/>
      </w:r>
      <w:r w:rsidR="00951551">
        <w:rPr>
          <w:noProof/>
        </w:rPr>
        <w:fldChar w:fldCharType="begin"/>
      </w:r>
      <w:r>
        <w:rPr>
          <w:noProof/>
        </w:rPr>
        <w:instrText xml:space="preserve"> PAGEREF _Toc339368769 \h </w:instrText>
      </w:r>
      <w:r w:rsidR="00951551">
        <w:rPr>
          <w:noProof/>
        </w:rPr>
      </w:r>
      <w:r w:rsidR="00951551">
        <w:rPr>
          <w:noProof/>
        </w:rPr>
        <w:fldChar w:fldCharType="separate"/>
      </w:r>
      <w:r>
        <w:rPr>
          <w:noProof/>
        </w:rPr>
        <w:t>26</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4.3.2 Sustainability</w:t>
      </w:r>
      <w:r>
        <w:rPr>
          <w:noProof/>
        </w:rPr>
        <w:tab/>
      </w:r>
      <w:r w:rsidR="00951551">
        <w:rPr>
          <w:noProof/>
        </w:rPr>
        <w:fldChar w:fldCharType="begin"/>
      </w:r>
      <w:r>
        <w:rPr>
          <w:noProof/>
        </w:rPr>
        <w:instrText xml:space="preserve"> PAGEREF _Toc339368770 \h </w:instrText>
      </w:r>
      <w:r w:rsidR="00951551">
        <w:rPr>
          <w:noProof/>
        </w:rPr>
      </w:r>
      <w:r w:rsidR="00951551">
        <w:rPr>
          <w:noProof/>
        </w:rPr>
        <w:fldChar w:fldCharType="separate"/>
      </w:r>
      <w:r>
        <w:rPr>
          <w:noProof/>
        </w:rPr>
        <w:t>28</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4.3.3 Challenges of the program</w:t>
      </w:r>
      <w:r>
        <w:rPr>
          <w:noProof/>
        </w:rPr>
        <w:tab/>
      </w:r>
      <w:r w:rsidR="00951551">
        <w:rPr>
          <w:noProof/>
        </w:rPr>
        <w:fldChar w:fldCharType="begin"/>
      </w:r>
      <w:r>
        <w:rPr>
          <w:noProof/>
        </w:rPr>
        <w:instrText xml:space="preserve"> PAGEREF _Toc339368771 \h </w:instrText>
      </w:r>
      <w:r w:rsidR="00951551">
        <w:rPr>
          <w:noProof/>
        </w:rPr>
      </w:r>
      <w:r w:rsidR="00951551">
        <w:rPr>
          <w:noProof/>
        </w:rPr>
        <w:fldChar w:fldCharType="separate"/>
      </w:r>
      <w:r>
        <w:rPr>
          <w:noProof/>
        </w:rPr>
        <w:t>30</w:t>
      </w:r>
      <w:r w:rsidR="00951551">
        <w:rPr>
          <w:noProof/>
        </w:rPr>
        <w:fldChar w:fldCharType="end"/>
      </w:r>
    </w:p>
    <w:p w:rsidR="00507BA2" w:rsidRDefault="00507BA2">
      <w:pPr>
        <w:pStyle w:val="TOC3"/>
        <w:tabs>
          <w:tab w:val="right" w:leader="dot" w:pos="9350"/>
        </w:tabs>
        <w:rPr>
          <w:rFonts w:asciiTheme="minorHAnsi" w:eastAsiaTheme="minorEastAsia" w:hAnsiTheme="minorHAnsi"/>
          <w:noProof/>
          <w:szCs w:val="28"/>
          <w:lang w:bidi="th-TH"/>
        </w:rPr>
      </w:pPr>
      <w:r>
        <w:rPr>
          <w:noProof/>
        </w:rPr>
        <w:t>4.3.4 Summary</w:t>
      </w:r>
      <w:r>
        <w:rPr>
          <w:noProof/>
        </w:rPr>
        <w:tab/>
      </w:r>
      <w:r w:rsidR="00951551">
        <w:rPr>
          <w:noProof/>
        </w:rPr>
        <w:fldChar w:fldCharType="begin"/>
      </w:r>
      <w:r>
        <w:rPr>
          <w:noProof/>
        </w:rPr>
        <w:instrText xml:space="preserve"> PAGEREF _Toc339368772 \h </w:instrText>
      </w:r>
      <w:r w:rsidR="00951551">
        <w:rPr>
          <w:noProof/>
        </w:rPr>
      </w:r>
      <w:r w:rsidR="00951551">
        <w:rPr>
          <w:noProof/>
        </w:rPr>
        <w:fldChar w:fldCharType="separate"/>
      </w:r>
      <w:r>
        <w:rPr>
          <w:noProof/>
        </w:rPr>
        <w:t>31</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5. Component 2</w:t>
      </w:r>
      <w:r w:rsidRPr="00963140">
        <w:rPr>
          <w:noProof/>
          <w:u w:val="single"/>
        </w:rPr>
        <w:t>:</w:t>
      </w:r>
      <w:r>
        <w:rPr>
          <w:noProof/>
        </w:rPr>
        <w:t xml:space="preserve"> Infrastructure grants</w:t>
      </w:r>
      <w:r>
        <w:rPr>
          <w:noProof/>
        </w:rPr>
        <w:tab/>
      </w:r>
      <w:r w:rsidR="00951551">
        <w:rPr>
          <w:noProof/>
        </w:rPr>
        <w:fldChar w:fldCharType="begin"/>
      </w:r>
      <w:r>
        <w:rPr>
          <w:noProof/>
        </w:rPr>
        <w:instrText xml:space="preserve"> PAGEREF _Toc339368773 \h </w:instrText>
      </w:r>
      <w:r w:rsidR="00951551">
        <w:rPr>
          <w:noProof/>
        </w:rPr>
      </w:r>
      <w:r w:rsidR="00951551">
        <w:rPr>
          <w:noProof/>
        </w:rPr>
        <w:fldChar w:fldCharType="separate"/>
      </w:r>
      <w:r>
        <w:rPr>
          <w:noProof/>
        </w:rPr>
        <w:t>31</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5.1 Achievements of the program</w:t>
      </w:r>
      <w:r>
        <w:rPr>
          <w:noProof/>
        </w:rPr>
        <w:tab/>
      </w:r>
      <w:r w:rsidR="00951551">
        <w:rPr>
          <w:noProof/>
        </w:rPr>
        <w:fldChar w:fldCharType="begin"/>
      </w:r>
      <w:r>
        <w:rPr>
          <w:noProof/>
        </w:rPr>
        <w:instrText xml:space="preserve"> PAGEREF _Toc339368774 \h </w:instrText>
      </w:r>
      <w:r w:rsidR="00951551">
        <w:rPr>
          <w:noProof/>
        </w:rPr>
      </w:r>
      <w:r w:rsidR="00951551">
        <w:rPr>
          <w:noProof/>
        </w:rPr>
        <w:fldChar w:fldCharType="separate"/>
      </w:r>
      <w:r>
        <w:rPr>
          <w:noProof/>
        </w:rPr>
        <w:t>32</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5.2 Effectiveness of the program in improving quality of life in the communities</w:t>
      </w:r>
      <w:r>
        <w:rPr>
          <w:noProof/>
        </w:rPr>
        <w:tab/>
      </w:r>
      <w:r w:rsidR="00951551">
        <w:rPr>
          <w:noProof/>
        </w:rPr>
        <w:fldChar w:fldCharType="begin"/>
      </w:r>
      <w:r>
        <w:rPr>
          <w:noProof/>
        </w:rPr>
        <w:instrText xml:space="preserve"> PAGEREF _Toc339368775 \h </w:instrText>
      </w:r>
      <w:r w:rsidR="00951551">
        <w:rPr>
          <w:noProof/>
        </w:rPr>
      </w:r>
      <w:r w:rsidR="00951551">
        <w:rPr>
          <w:noProof/>
        </w:rPr>
        <w:fldChar w:fldCharType="separate"/>
      </w:r>
      <w:r>
        <w:rPr>
          <w:noProof/>
        </w:rPr>
        <w:t>34</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5.2 Effectiveness of the program at increasing positive interactions between IDPs and local residents</w:t>
      </w:r>
      <w:r>
        <w:rPr>
          <w:noProof/>
        </w:rPr>
        <w:tab/>
      </w:r>
      <w:r w:rsidR="00951551">
        <w:rPr>
          <w:noProof/>
        </w:rPr>
        <w:fldChar w:fldCharType="begin"/>
      </w:r>
      <w:r>
        <w:rPr>
          <w:noProof/>
        </w:rPr>
        <w:instrText xml:space="preserve"> PAGEREF _Toc339368776 \h </w:instrText>
      </w:r>
      <w:r w:rsidR="00951551">
        <w:rPr>
          <w:noProof/>
        </w:rPr>
      </w:r>
      <w:r w:rsidR="00951551">
        <w:rPr>
          <w:noProof/>
        </w:rPr>
        <w:fldChar w:fldCharType="separate"/>
      </w:r>
      <w:r>
        <w:rPr>
          <w:noProof/>
        </w:rPr>
        <w:t>35</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5.3 Sustainability</w:t>
      </w:r>
      <w:r>
        <w:rPr>
          <w:noProof/>
        </w:rPr>
        <w:tab/>
      </w:r>
      <w:r w:rsidR="00951551">
        <w:rPr>
          <w:noProof/>
        </w:rPr>
        <w:fldChar w:fldCharType="begin"/>
      </w:r>
      <w:r>
        <w:rPr>
          <w:noProof/>
        </w:rPr>
        <w:instrText xml:space="preserve"> PAGEREF _Toc339368777 \h </w:instrText>
      </w:r>
      <w:r w:rsidR="00951551">
        <w:rPr>
          <w:noProof/>
        </w:rPr>
      </w:r>
      <w:r w:rsidR="00951551">
        <w:rPr>
          <w:noProof/>
        </w:rPr>
        <w:fldChar w:fldCharType="separate"/>
      </w:r>
      <w:r>
        <w:rPr>
          <w:noProof/>
        </w:rPr>
        <w:t>35</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5.4 Challenges of the project</w:t>
      </w:r>
      <w:r>
        <w:rPr>
          <w:noProof/>
        </w:rPr>
        <w:tab/>
      </w:r>
      <w:r w:rsidR="00951551">
        <w:rPr>
          <w:noProof/>
        </w:rPr>
        <w:fldChar w:fldCharType="begin"/>
      </w:r>
      <w:r>
        <w:rPr>
          <w:noProof/>
        </w:rPr>
        <w:instrText xml:space="preserve"> PAGEREF _Toc339368778 \h </w:instrText>
      </w:r>
      <w:r w:rsidR="00951551">
        <w:rPr>
          <w:noProof/>
        </w:rPr>
      </w:r>
      <w:r w:rsidR="00951551">
        <w:rPr>
          <w:noProof/>
        </w:rPr>
        <w:fldChar w:fldCharType="separate"/>
      </w:r>
      <w:r>
        <w:rPr>
          <w:noProof/>
        </w:rPr>
        <w:t>36</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5.5 Summary</w:t>
      </w:r>
      <w:r>
        <w:rPr>
          <w:noProof/>
        </w:rPr>
        <w:tab/>
      </w:r>
      <w:r w:rsidR="00951551">
        <w:rPr>
          <w:noProof/>
        </w:rPr>
        <w:fldChar w:fldCharType="begin"/>
      </w:r>
      <w:r>
        <w:rPr>
          <w:noProof/>
        </w:rPr>
        <w:instrText xml:space="preserve"> PAGEREF _Toc339368779 \h </w:instrText>
      </w:r>
      <w:r w:rsidR="00951551">
        <w:rPr>
          <w:noProof/>
        </w:rPr>
      </w:r>
      <w:r w:rsidR="00951551">
        <w:rPr>
          <w:noProof/>
        </w:rPr>
        <w:fldChar w:fldCharType="separate"/>
      </w:r>
      <w:r>
        <w:rPr>
          <w:noProof/>
        </w:rPr>
        <w:t>36</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6. Component 3: Support to Civil Society</w:t>
      </w:r>
      <w:r>
        <w:rPr>
          <w:noProof/>
        </w:rPr>
        <w:tab/>
      </w:r>
      <w:r w:rsidR="00951551">
        <w:rPr>
          <w:noProof/>
        </w:rPr>
        <w:fldChar w:fldCharType="begin"/>
      </w:r>
      <w:r>
        <w:rPr>
          <w:noProof/>
        </w:rPr>
        <w:instrText xml:space="preserve"> PAGEREF _Toc339368780 \h </w:instrText>
      </w:r>
      <w:r w:rsidR="00951551">
        <w:rPr>
          <w:noProof/>
        </w:rPr>
      </w:r>
      <w:r w:rsidR="00951551">
        <w:rPr>
          <w:noProof/>
        </w:rPr>
        <w:fldChar w:fldCharType="separate"/>
      </w:r>
      <w:r>
        <w:rPr>
          <w:noProof/>
        </w:rPr>
        <w:t>37</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6.1 Achievements of the program</w:t>
      </w:r>
      <w:r>
        <w:rPr>
          <w:noProof/>
        </w:rPr>
        <w:tab/>
      </w:r>
      <w:r w:rsidR="00951551">
        <w:rPr>
          <w:noProof/>
        </w:rPr>
        <w:fldChar w:fldCharType="begin"/>
      </w:r>
      <w:r>
        <w:rPr>
          <w:noProof/>
        </w:rPr>
        <w:instrText xml:space="preserve"> PAGEREF _Toc339368781 \h </w:instrText>
      </w:r>
      <w:r w:rsidR="00951551">
        <w:rPr>
          <w:noProof/>
        </w:rPr>
      </w:r>
      <w:r w:rsidR="00951551">
        <w:rPr>
          <w:noProof/>
        </w:rPr>
        <w:fldChar w:fldCharType="separate"/>
      </w:r>
      <w:r>
        <w:rPr>
          <w:noProof/>
        </w:rPr>
        <w:t>38</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6.2 Effectiveness of the program in promoting IDP integration</w:t>
      </w:r>
      <w:r>
        <w:rPr>
          <w:noProof/>
        </w:rPr>
        <w:tab/>
      </w:r>
      <w:r w:rsidR="00951551">
        <w:rPr>
          <w:noProof/>
        </w:rPr>
        <w:fldChar w:fldCharType="begin"/>
      </w:r>
      <w:r>
        <w:rPr>
          <w:noProof/>
        </w:rPr>
        <w:instrText xml:space="preserve"> PAGEREF _Toc339368782 \h </w:instrText>
      </w:r>
      <w:r w:rsidR="00951551">
        <w:rPr>
          <w:noProof/>
        </w:rPr>
      </w:r>
      <w:r w:rsidR="00951551">
        <w:rPr>
          <w:noProof/>
        </w:rPr>
        <w:fldChar w:fldCharType="separate"/>
      </w:r>
      <w:r>
        <w:rPr>
          <w:noProof/>
        </w:rPr>
        <w:t>38</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6.3 Effectiveness of the program in building CSO capacity</w:t>
      </w:r>
      <w:r>
        <w:rPr>
          <w:noProof/>
        </w:rPr>
        <w:tab/>
      </w:r>
      <w:r w:rsidR="00951551">
        <w:rPr>
          <w:noProof/>
        </w:rPr>
        <w:fldChar w:fldCharType="begin"/>
      </w:r>
      <w:r>
        <w:rPr>
          <w:noProof/>
        </w:rPr>
        <w:instrText xml:space="preserve"> PAGEREF _Toc339368783 \h </w:instrText>
      </w:r>
      <w:r w:rsidR="00951551">
        <w:rPr>
          <w:noProof/>
        </w:rPr>
      </w:r>
      <w:r w:rsidR="00951551">
        <w:rPr>
          <w:noProof/>
        </w:rPr>
        <w:fldChar w:fldCharType="separate"/>
      </w:r>
      <w:r>
        <w:rPr>
          <w:noProof/>
        </w:rPr>
        <w:t>41</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6.4 Sustainability</w:t>
      </w:r>
      <w:r>
        <w:rPr>
          <w:noProof/>
        </w:rPr>
        <w:tab/>
      </w:r>
      <w:r w:rsidR="00951551">
        <w:rPr>
          <w:noProof/>
        </w:rPr>
        <w:fldChar w:fldCharType="begin"/>
      </w:r>
      <w:r>
        <w:rPr>
          <w:noProof/>
        </w:rPr>
        <w:instrText xml:space="preserve"> PAGEREF _Toc339368784 \h </w:instrText>
      </w:r>
      <w:r w:rsidR="00951551">
        <w:rPr>
          <w:noProof/>
        </w:rPr>
      </w:r>
      <w:r w:rsidR="00951551">
        <w:rPr>
          <w:noProof/>
        </w:rPr>
        <w:fldChar w:fldCharType="separate"/>
      </w:r>
      <w:r>
        <w:rPr>
          <w:noProof/>
        </w:rPr>
        <w:t>43</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6.5 Summary and conclusions</w:t>
      </w:r>
      <w:r>
        <w:rPr>
          <w:noProof/>
        </w:rPr>
        <w:tab/>
      </w:r>
      <w:r w:rsidR="00951551">
        <w:rPr>
          <w:noProof/>
        </w:rPr>
        <w:fldChar w:fldCharType="begin"/>
      </w:r>
      <w:r>
        <w:rPr>
          <w:noProof/>
        </w:rPr>
        <w:instrText xml:space="preserve"> PAGEREF _Toc339368785 \h </w:instrText>
      </w:r>
      <w:r w:rsidR="00951551">
        <w:rPr>
          <w:noProof/>
        </w:rPr>
      </w:r>
      <w:r w:rsidR="00951551">
        <w:rPr>
          <w:noProof/>
        </w:rPr>
        <w:fldChar w:fldCharType="separate"/>
      </w:r>
      <w:r>
        <w:rPr>
          <w:noProof/>
        </w:rPr>
        <w:t>47</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7. Component 4: Capacity building of children and adolescents</w:t>
      </w:r>
      <w:r>
        <w:rPr>
          <w:noProof/>
        </w:rPr>
        <w:tab/>
      </w:r>
      <w:r w:rsidR="00951551">
        <w:rPr>
          <w:noProof/>
        </w:rPr>
        <w:fldChar w:fldCharType="begin"/>
      </w:r>
      <w:r>
        <w:rPr>
          <w:noProof/>
        </w:rPr>
        <w:instrText xml:space="preserve"> PAGEREF _Toc339368786 \h </w:instrText>
      </w:r>
      <w:r w:rsidR="00951551">
        <w:rPr>
          <w:noProof/>
        </w:rPr>
      </w:r>
      <w:r w:rsidR="00951551">
        <w:rPr>
          <w:noProof/>
        </w:rPr>
        <w:fldChar w:fldCharType="separate"/>
      </w:r>
      <w:r>
        <w:rPr>
          <w:noProof/>
        </w:rPr>
        <w:t>48</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7.1 Achievements of the program</w:t>
      </w:r>
      <w:r>
        <w:rPr>
          <w:noProof/>
        </w:rPr>
        <w:tab/>
      </w:r>
      <w:r w:rsidR="00951551">
        <w:rPr>
          <w:noProof/>
        </w:rPr>
        <w:fldChar w:fldCharType="begin"/>
      </w:r>
      <w:r>
        <w:rPr>
          <w:noProof/>
        </w:rPr>
        <w:instrText xml:space="preserve"> PAGEREF _Toc339368787 \h </w:instrText>
      </w:r>
      <w:r w:rsidR="00951551">
        <w:rPr>
          <w:noProof/>
        </w:rPr>
      </w:r>
      <w:r w:rsidR="00951551">
        <w:rPr>
          <w:noProof/>
        </w:rPr>
        <w:fldChar w:fldCharType="separate"/>
      </w:r>
      <w:r>
        <w:rPr>
          <w:noProof/>
        </w:rPr>
        <w:t>48</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7.2 Effectiveness of the life skills trainings</w:t>
      </w:r>
      <w:r>
        <w:rPr>
          <w:noProof/>
        </w:rPr>
        <w:tab/>
      </w:r>
      <w:r w:rsidR="00951551">
        <w:rPr>
          <w:noProof/>
        </w:rPr>
        <w:fldChar w:fldCharType="begin"/>
      </w:r>
      <w:r>
        <w:rPr>
          <w:noProof/>
        </w:rPr>
        <w:instrText xml:space="preserve"> PAGEREF _Toc339368788 \h </w:instrText>
      </w:r>
      <w:r w:rsidR="00951551">
        <w:rPr>
          <w:noProof/>
        </w:rPr>
      </w:r>
      <w:r w:rsidR="00951551">
        <w:rPr>
          <w:noProof/>
        </w:rPr>
        <w:fldChar w:fldCharType="separate"/>
      </w:r>
      <w:r>
        <w:rPr>
          <w:noProof/>
        </w:rPr>
        <w:t>49</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7.3 Effectiveness of infrastructure projects and events</w:t>
      </w:r>
      <w:r>
        <w:rPr>
          <w:noProof/>
        </w:rPr>
        <w:tab/>
      </w:r>
      <w:r w:rsidR="00951551">
        <w:rPr>
          <w:noProof/>
        </w:rPr>
        <w:fldChar w:fldCharType="begin"/>
      </w:r>
      <w:r>
        <w:rPr>
          <w:noProof/>
        </w:rPr>
        <w:instrText xml:space="preserve"> PAGEREF _Toc339368789 \h </w:instrText>
      </w:r>
      <w:r w:rsidR="00951551">
        <w:rPr>
          <w:noProof/>
        </w:rPr>
      </w:r>
      <w:r w:rsidR="00951551">
        <w:rPr>
          <w:noProof/>
        </w:rPr>
        <w:fldChar w:fldCharType="separate"/>
      </w:r>
      <w:r>
        <w:rPr>
          <w:noProof/>
        </w:rPr>
        <w:t>54</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7.4 Effectiveness of the program in promoting integration of IDP and local community youth</w:t>
      </w:r>
      <w:r>
        <w:rPr>
          <w:noProof/>
        </w:rPr>
        <w:tab/>
      </w:r>
      <w:r w:rsidR="00951551">
        <w:rPr>
          <w:noProof/>
        </w:rPr>
        <w:fldChar w:fldCharType="begin"/>
      </w:r>
      <w:r>
        <w:rPr>
          <w:noProof/>
        </w:rPr>
        <w:instrText xml:space="preserve"> PAGEREF _Toc339368790 \h </w:instrText>
      </w:r>
      <w:r w:rsidR="00951551">
        <w:rPr>
          <w:noProof/>
        </w:rPr>
      </w:r>
      <w:r w:rsidR="00951551">
        <w:rPr>
          <w:noProof/>
        </w:rPr>
        <w:fldChar w:fldCharType="separate"/>
      </w:r>
      <w:r>
        <w:rPr>
          <w:noProof/>
        </w:rPr>
        <w:t>54</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7.5 Sustainability</w:t>
      </w:r>
      <w:r>
        <w:rPr>
          <w:noProof/>
        </w:rPr>
        <w:tab/>
      </w:r>
      <w:r w:rsidR="00951551">
        <w:rPr>
          <w:noProof/>
        </w:rPr>
        <w:fldChar w:fldCharType="begin"/>
      </w:r>
      <w:r>
        <w:rPr>
          <w:noProof/>
        </w:rPr>
        <w:instrText xml:space="preserve"> PAGEREF _Toc339368791 \h </w:instrText>
      </w:r>
      <w:r w:rsidR="00951551">
        <w:rPr>
          <w:noProof/>
        </w:rPr>
      </w:r>
      <w:r w:rsidR="00951551">
        <w:rPr>
          <w:noProof/>
        </w:rPr>
        <w:fldChar w:fldCharType="separate"/>
      </w:r>
      <w:r>
        <w:rPr>
          <w:noProof/>
        </w:rPr>
        <w:t>55</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7.6 Summary</w:t>
      </w:r>
      <w:r>
        <w:rPr>
          <w:noProof/>
        </w:rPr>
        <w:tab/>
      </w:r>
      <w:r w:rsidR="00951551">
        <w:rPr>
          <w:noProof/>
        </w:rPr>
        <w:fldChar w:fldCharType="begin"/>
      </w:r>
      <w:r>
        <w:rPr>
          <w:noProof/>
        </w:rPr>
        <w:instrText xml:space="preserve"> PAGEREF _Toc339368792 \h </w:instrText>
      </w:r>
      <w:r w:rsidR="00951551">
        <w:rPr>
          <w:noProof/>
        </w:rPr>
      </w:r>
      <w:r w:rsidR="00951551">
        <w:rPr>
          <w:noProof/>
        </w:rPr>
        <w:fldChar w:fldCharType="separate"/>
      </w:r>
      <w:r>
        <w:rPr>
          <w:noProof/>
        </w:rPr>
        <w:t>55</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8. Component 5: Improving service delivery by municipalities and government</w:t>
      </w:r>
      <w:r>
        <w:rPr>
          <w:noProof/>
        </w:rPr>
        <w:tab/>
      </w:r>
      <w:r w:rsidR="00951551">
        <w:rPr>
          <w:noProof/>
        </w:rPr>
        <w:fldChar w:fldCharType="begin"/>
      </w:r>
      <w:r>
        <w:rPr>
          <w:noProof/>
        </w:rPr>
        <w:instrText xml:space="preserve"> PAGEREF _Toc339368793 \h </w:instrText>
      </w:r>
      <w:r w:rsidR="00951551">
        <w:rPr>
          <w:noProof/>
        </w:rPr>
      </w:r>
      <w:r w:rsidR="00951551">
        <w:rPr>
          <w:noProof/>
        </w:rPr>
        <w:fldChar w:fldCharType="separate"/>
      </w:r>
      <w:r>
        <w:rPr>
          <w:noProof/>
        </w:rPr>
        <w:t>55</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8.1 Achievements of the program</w:t>
      </w:r>
      <w:r>
        <w:rPr>
          <w:noProof/>
        </w:rPr>
        <w:tab/>
      </w:r>
      <w:r w:rsidR="00951551">
        <w:rPr>
          <w:noProof/>
        </w:rPr>
        <w:fldChar w:fldCharType="begin"/>
      </w:r>
      <w:r>
        <w:rPr>
          <w:noProof/>
        </w:rPr>
        <w:instrText xml:space="preserve"> PAGEREF _Toc339368794 \h </w:instrText>
      </w:r>
      <w:r w:rsidR="00951551">
        <w:rPr>
          <w:noProof/>
        </w:rPr>
      </w:r>
      <w:r w:rsidR="00951551">
        <w:rPr>
          <w:noProof/>
        </w:rPr>
        <w:fldChar w:fldCharType="separate"/>
      </w:r>
      <w:r>
        <w:rPr>
          <w:noProof/>
        </w:rPr>
        <w:t>56</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8.2 Sustainability</w:t>
      </w:r>
      <w:r>
        <w:rPr>
          <w:noProof/>
        </w:rPr>
        <w:tab/>
      </w:r>
      <w:r w:rsidR="00951551">
        <w:rPr>
          <w:noProof/>
        </w:rPr>
        <w:fldChar w:fldCharType="begin"/>
      </w:r>
      <w:r>
        <w:rPr>
          <w:noProof/>
        </w:rPr>
        <w:instrText xml:space="preserve"> PAGEREF _Toc339368795 \h </w:instrText>
      </w:r>
      <w:r w:rsidR="00951551">
        <w:rPr>
          <w:noProof/>
        </w:rPr>
      </w:r>
      <w:r w:rsidR="00951551">
        <w:rPr>
          <w:noProof/>
        </w:rPr>
        <w:fldChar w:fldCharType="separate"/>
      </w:r>
      <w:r>
        <w:rPr>
          <w:noProof/>
        </w:rPr>
        <w:t>57</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 xml:space="preserve">9. Discussion and </w:t>
      </w:r>
      <w:r w:rsidR="003251FA">
        <w:rPr>
          <w:noProof/>
        </w:rPr>
        <w:t>Vision for Durable Solutions</w:t>
      </w:r>
      <w:r>
        <w:rPr>
          <w:noProof/>
        </w:rPr>
        <w:tab/>
      </w:r>
      <w:r w:rsidR="00951551">
        <w:rPr>
          <w:noProof/>
        </w:rPr>
        <w:fldChar w:fldCharType="begin"/>
      </w:r>
      <w:r>
        <w:rPr>
          <w:noProof/>
        </w:rPr>
        <w:instrText xml:space="preserve"> PAGEREF _Toc339368796 \h </w:instrText>
      </w:r>
      <w:r w:rsidR="00951551">
        <w:rPr>
          <w:noProof/>
        </w:rPr>
      </w:r>
      <w:r w:rsidR="00951551">
        <w:rPr>
          <w:noProof/>
        </w:rPr>
        <w:fldChar w:fldCharType="separate"/>
      </w:r>
      <w:r>
        <w:rPr>
          <w:noProof/>
        </w:rPr>
        <w:t>57</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lastRenderedPageBreak/>
        <w:t>9.1 Gender issues</w:t>
      </w:r>
      <w:r>
        <w:rPr>
          <w:noProof/>
        </w:rPr>
        <w:tab/>
      </w:r>
      <w:r w:rsidR="00951551">
        <w:rPr>
          <w:noProof/>
        </w:rPr>
        <w:fldChar w:fldCharType="begin"/>
      </w:r>
      <w:r>
        <w:rPr>
          <w:noProof/>
        </w:rPr>
        <w:instrText xml:space="preserve"> PAGEREF _Toc339368797 \h </w:instrText>
      </w:r>
      <w:r w:rsidR="00951551">
        <w:rPr>
          <w:noProof/>
        </w:rPr>
      </w:r>
      <w:r w:rsidR="00951551">
        <w:rPr>
          <w:noProof/>
        </w:rPr>
        <w:fldChar w:fldCharType="separate"/>
      </w:r>
      <w:r>
        <w:rPr>
          <w:noProof/>
        </w:rPr>
        <w:t>57</w:t>
      </w:r>
      <w:r w:rsidR="00951551">
        <w:rPr>
          <w:noProof/>
        </w:rPr>
        <w:fldChar w:fldCharType="end"/>
      </w:r>
    </w:p>
    <w:p w:rsidR="00507BA2" w:rsidRDefault="00507BA2">
      <w:pPr>
        <w:pStyle w:val="TOC2"/>
        <w:tabs>
          <w:tab w:val="right" w:leader="dot" w:pos="9350"/>
        </w:tabs>
        <w:rPr>
          <w:rFonts w:asciiTheme="minorHAnsi" w:eastAsiaTheme="minorEastAsia" w:hAnsiTheme="minorHAnsi"/>
          <w:noProof/>
          <w:szCs w:val="28"/>
          <w:lang w:bidi="th-TH"/>
        </w:rPr>
      </w:pPr>
      <w:r>
        <w:rPr>
          <w:noProof/>
        </w:rPr>
        <w:t>9.2 Durable solutions</w:t>
      </w:r>
      <w:r>
        <w:rPr>
          <w:noProof/>
        </w:rPr>
        <w:tab/>
      </w:r>
      <w:r w:rsidR="00951551">
        <w:rPr>
          <w:noProof/>
        </w:rPr>
        <w:fldChar w:fldCharType="begin"/>
      </w:r>
      <w:r>
        <w:rPr>
          <w:noProof/>
        </w:rPr>
        <w:instrText xml:space="preserve"> PAGEREF _Toc339368798 \h </w:instrText>
      </w:r>
      <w:r w:rsidR="00951551">
        <w:rPr>
          <w:noProof/>
        </w:rPr>
      </w:r>
      <w:r w:rsidR="00951551">
        <w:rPr>
          <w:noProof/>
        </w:rPr>
        <w:fldChar w:fldCharType="separate"/>
      </w:r>
      <w:r>
        <w:rPr>
          <w:noProof/>
        </w:rPr>
        <w:t>58</w:t>
      </w:r>
      <w:r w:rsidR="00951551">
        <w:rPr>
          <w:noProof/>
        </w:rPr>
        <w:fldChar w:fldCharType="end"/>
      </w:r>
    </w:p>
    <w:p w:rsidR="00507BA2" w:rsidRDefault="00507BA2">
      <w:pPr>
        <w:pStyle w:val="TOC1"/>
        <w:tabs>
          <w:tab w:val="right" w:leader="dot" w:pos="9350"/>
        </w:tabs>
        <w:rPr>
          <w:rFonts w:asciiTheme="minorHAnsi" w:eastAsiaTheme="minorEastAsia" w:hAnsiTheme="minorHAnsi"/>
          <w:noProof/>
          <w:szCs w:val="28"/>
          <w:lang w:bidi="th-TH"/>
        </w:rPr>
      </w:pPr>
      <w:r>
        <w:rPr>
          <w:noProof/>
        </w:rPr>
        <w:t>10. References</w:t>
      </w:r>
      <w:r>
        <w:rPr>
          <w:noProof/>
        </w:rPr>
        <w:tab/>
      </w:r>
      <w:r w:rsidR="00951551">
        <w:rPr>
          <w:noProof/>
        </w:rPr>
        <w:fldChar w:fldCharType="begin"/>
      </w:r>
      <w:r>
        <w:rPr>
          <w:noProof/>
        </w:rPr>
        <w:instrText xml:space="preserve"> PAGEREF _Toc339368800 \h </w:instrText>
      </w:r>
      <w:r w:rsidR="00951551">
        <w:rPr>
          <w:noProof/>
        </w:rPr>
      </w:r>
      <w:r w:rsidR="00951551">
        <w:rPr>
          <w:noProof/>
        </w:rPr>
        <w:fldChar w:fldCharType="separate"/>
      </w:r>
      <w:r>
        <w:rPr>
          <w:noProof/>
        </w:rPr>
        <w:t>59</w:t>
      </w:r>
      <w:r w:rsidR="00951551">
        <w:rPr>
          <w:noProof/>
        </w:rPr>
        <w:fldChar w:fldCharType="end"/>
      </w:r>
    </w:p>
    <w:p w:rsidR="006F061F" w:rsidRPr="0034148C" w:rsidRDefault="00951551" w:rsidP="00835BAB">
      <w:pPr>
        <w:spacing w:after="200"/>
      </w:pPr>
      <w:r>
        <w:fldChar w:fldCharType="end"/>
      </w:r>
    </w:p>
    <w:p w:rsidR="006F061F" w:rsidRPr="0034148C" w:rsidRDefault="006F061F">
      <w:pPr>
        <w:spacing w:after="200"/>
      </w:pPr>
      <w:r w:rsidRPr="0034148C">
        <w:br w:type="page"/>
      </w:r>
    </w:p>
    <w:p w:rsidR="006F061F" w:rsidRPr="0034148C" w:rsidRDefault="00BA5DC5" w:rsidP="00555BE4">
      <w:pPr>
        <w:pStyle w:val="Heading1"/>
      </w:pPr>
      <w:bookmarkStart w:id="20" w:name="_Toc338325582"/>
      <w:bookmarkStart w:id="21" w:name="_Toc338572106"/>
      <w:bookmarkStart w:id="22" w:name="_Toc338717114"/>
      <w:bookmarkStart w:id="23" w:name="_Toc338750145"/>
      <w:bookmarkStart w:id="24" w:name="_Toc339368738"/>
      <w:r w:rsidRPr="0034148C">
        <w:lastRenderedPageBreak/>
        <w:t>List of F</w:t>
      </w:r>
      <w:r w:rsidR="006F061F" w:rsidRPr="0034148C">
        <w:t>igures</w:t>
      </w:r>
      <w:bookmarkEnd w:id="20"/>
      <w:bookmarkEnd w:id="21"/>
      <w:bookmarkEnd w:id="22"/>
      <w:bookmarkEnd w:id="23"/>
      <w:bookmarkEnd w:id="24"/>
    </w:p>
    <w:p w:rsidR="00507BA2" w:rsidRDefault="00951551" w:rsidP="00507BA2">
      <w:pPr>
        <w:pStyle w:val="TableofFigures"/>
        <w:tabs>
          <w:tab w:val="right" w:leader="dot" w:pos="9350"/>
        </w:tabs>
        <w:ind w:left="360" w:hanging="360"/>
        <w:rPr>
          <w:rFonts w:asciiTheme="minorHAnsi" w:eastAsiaTheme="minorEastAsia" w:hAnsiTheme="minorHAnsi"/>
          <w:noProof/>
          <w:szCs w:val="28"/>
          <w:lang w:bidi="th-TH"/>
        </w:rPr>
      </w:pPr>
      <w:r>
        <w:fldChar w:fldCharType="begin"/>
      </w:r>
      <w:r w:rsidR="00507BA2">
        <w:instrText xml:space="preserve"> TOC \t "Heading 5" \c </w:instrText>
      </w:r>
      <w:r>
        <w:fldChar w:fldCharType="separate"/>
      </w:r>
      <w:r w:rsidR="00507BA2">
        <w:rPr>
          <w:noProof/>
        </w:rPr>
        <w:t>Figure 4.1.1: Number of hectares under cultivation before and after implementation of the agricultural machinery program for IDP and local farmers (N=97)</w:t>
      </w:r>
      <w:r w:rsidR="00507BA2">
        <w:rPr>
          <w:noProof/>
        </w:rPr>
        <w:tab/>
      </w:r>
      <w:r>
        <w:rPr>
          <w:noProof/>
        </w:rPr>
        <w:fldChar w:fldCharType="begin"/>
      </w:r>
      <w:r w:rsidR="00507BA2">
        <w:rPr>
          <w:noProof/>
        </w:rPr>
        <w:instrText xml:space="preserve"> PAGEREF _Toc339368811 \h </w:instrText>
      </w:r>
      <w:r>
        <w:rPr>
          <w:noProof/>
        </w:rPr>
      </w:r>
      <w:r>
        <w:rPr>
          <w:noProof/>
        </w:rPr>
        <w:fldChar w:fldCharType="separate"/>
      </w:r>
      <w:r w:rsidR="00507BA2">
        <w:rPr>
          <w:noProof/>
        </w:rPr>
        <w:t>10</w:t>
      </w:r>
      <w:r>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4.1.2: Annual income from agriculture before and after implementation of the agricultural machinery program for IDP and local farmers (N=97)</w:t>
      </w:r>
      <w:r>
        <w:rPr>
          <w:noProof/>
        </w:rPr>
        <w:tab/>
      </w:r>
      <w:r w:rsidR="00951551">
        <w:rPr>
          <w:noProof/>
        </w:rPr>
        <w:fldChar w:fldCharType="begin"/>
      </w:r>
      <w:r>
        <w:rPr>
          <w:noProof/>
        </w:rPr>
        <w:instrText xml:space="preserve"> PAGEREF _Toc339368812 \h </w:instrText>
      </w:r>
      <w:r w:rsidR="00951551">
        <w:rPr>
          <w:noProof/>
        </w:rPr>
      </w:r>
      <w:r w:rsidR="00951551">
        <w:rPr>
          <w:noProof/>
        </w:rPr>
        <w:fldChar w:fldCharType="separate"/>
      </w:r>
      <w:r>
        <w:rPr>
          <w:noProof/>
        </w:rPr>
        <w:t>10</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4.2.1: Mean total monthly income by source of income before and after receiving women entrepreneur grant (in USD) (N=49)</w:t>
      </w:r>
      <w:r>
        <w:rPr>
          <w:noProof/>
        </w:rPr>
        <w:tab/>
      </w:r>
      <w:r w:rsidR="00951551">
        <w:rPr>
          <w:noProof/>
        </w:rPr>
        <w:fldChar w:fldCharType="begin"/>
      </w:r>
      <w:r>
        <w:rPr>
          <w:noProof/>
        </w:rPr>
        <w:instrText xml:space="preserve"> PAGEREF _Toc339368813 \h </w:instrText>
      </w:r>
      <w:r w:rsidR="00951551">
        <w:rPr>
          <w:noProof/>
        </w:rPr>
      </w:r>
      <w:r w:rsidR="00951551">
        <w:rPr>
          <w:noProof/>
        </w:rPr>
        <w:fldChar w:fldCharType="separate"/>
      </w:r>
      <w:r>
        <w:rPr>
          <w:noProof/>
        </w:rPr>
        <w:t>19</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4.2.2 Mean total expenses per month before and after receiving women entrepreneur grant (in USD) (N=49)</w:t>
      </w:r>
      <w:r>
        <w:rPr>
          <w:noProof/>
        </w:rPr>
        <w:tab/>
      </w:r>
      <w:r w:rsidR="00951551">
        <w:rPr>
          <w:noProof/>
        </w:rPr>
        <w:fldChar w:fldCharType="begin"/>
      </w:r>
      <w:r>
        <w:rPr>
          <w:noProof/>
        </w:rPr>
        <w:instrText xml:space="preserve"> PAGEREF _Toc339368814 \h </w:instrText>
      </w:r>
      <w:r w:rsidR="00951551">
        <w:rPr>
          <w:noProof/>
        </w:rPr>
      </w:r>
      <w:r w:rsidR="00951551">
        <w:rPr>
          <w:noProof/>
        </w:rPr>
        <w:fldChar w:fldCharType="separate"/>
      </w:r>
      <w:r>
        <w:rPr>
          <w:noProof/>
        </w:rPr>
        <w:t>19</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4.2.3: Survey responses to how the business had changed their life (in percents) (N=49)</w:t>
      </w:r>
      <w:r>
        <w:rPr>
          <w:noProof/>
        </w:rPr>
        <w:tab/>
      </w:r>
      <w:r w:rsidR="00951551">
        <w:rPr>
          <w:noProof/>
        </w:rPr>
        <w:fldChar w:fldCharType="begin"/>
      </w:r>
      <w:r>
        <w:rPr>
          <w:noProof/>
        </w:rPr>
        <w:instrText xml:space="preserve"> PAGEREF _Toc339368815 \h </w:instrText>
      </w:r>
      <w:r w:rsidR="00951551">
        <w:rPr>
          <w:noProof/>
        </w:rPr>
      </w:r>
      <w:r w:rsidR="00951551">
        <w:rPr>
          <w:noProof/>
        </w:rPr>
        <w:fldChar w:fldCharType="separate"/>
      </w:r>
      <w:r>
        <w:rPr>
          <w:noProof/>
        </w:rPr>
        <w:t>21</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sidRPr="00712709">
        <w:rPr>
          <w:noProof/>
        </w:rPr>
        <w:t>Figure 4.2.4: Attitudes toward gender differences in managing a business and supporting a family (in percents) (N=49)</w:t>
      </w:r>
      <w:r>
        <w:rPr>
          <w:noProof/>
        </w:rPr>
        <w:tab/>
      </w:r>
      <w:r w:rsidR="00951551">
        <w:rPr>
          <w:noProof/>
        </w:rPr>
        <w:fldChar w:fldCharType="begin"/>
      </w:r>
      <w:r>
        <w:rPr>
          <w:noProof/>
        </w:rPr>
        <w:instrText xml:space="preserve"> PAGEREF _Toc339368816 \h </w:instrText>
      </w:r>
      <w:r w:rsidR="00951551">
        <w:rPr>
          <w:noProof/>
        </w:rPr>
      </w:r>
      <w:r w:rsidR="00951551">
        <w:rPr>
          <w:noProof/>
        </w:rPr>
        <w:fldChar w:fldCharType="separate"/>
      </w:r>
      <w:r>
        <w:rPr>
          <w:noProof/>
        </w:rPr>
        <w:t>22</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4.2.5: Attitudes towards business enterprises (in percents) (N=49)</w:t>
      </w:r>
      <w:r>
        <w:rPr>
          <w:noProof/>
        </w:rPr>
        <w:tab/>
      </w:r>
      <w:r w:rsidR="00951551">
        <w:rPr>
          <w:noProof/>
        </w:rPr>
        <w:fldChar w:fldCharType="begin"/>
      </w:r>
      <w:r>
        <w:rPr>
          <w:noProof/>
        </w:rPr>
        <w:instrText xml:space="preserve"> PAGEREF _Toc339368817 \h </w:instrText>
      </w:r>
      <w:r w:rsidR="00951551">
        <w:rPr>
          <w:noProof/>
        </w:rPr>
      </w:r>
      <w:r w:rsidR="00951551">
        <w:rPr>
          <w:noProof/>
        </w:rPr>
        <w:fldChar w:fldCharType="separate"/>
      </w:r>
      <w:r>
        <w:rPr>
          <w:noProof/>
        </w:rPr>
        <w:t>23</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4.3.1: Cumulative wages paid by grants-for-jobs enterprises by months in operation minus grant amount (USD)</w:t>
      </w:r>
      <w:r>
        <w:rPr>
          <w:noProof/>
        </w:rPr>
        <w:tab/>
      </w:r>
      <w:r w:rsidR="00951551">
        <w:rPr>
          <w:noProof/>
        </w:rPr>
        <w:fldChar w:fldCharType="begin"/>
      </w:r>
      <w:r>
        <w:rPr>
          <w:noProof/>
        </w:rPr>
        <w:instrText xml:space="preserve"> PAGEREF _Toc339368818 \h </w:instrText>
      </w:r>
      <w:r w:rsidR="00951551">
        <w:rPr>
          <w:noProof/>
        </w:rPr>
      </w:r>
      <w:r w:rsidR="00951551">
        <w:rPr>
          <w:noProof/>
        </w:rPr>
        <w:fldChar w:fldCharType="separate"/>
      </w:r>
      <w:r>
        <w:rPr>
          <w:noProof/>
        </w:rPr>
        <w:t>30</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5.1: Source of financing for Social and Economic Infrastructure projects (in USD)</w:t>
      </w:r>
      <w:r>
        <w:rPr>
          <w:noProof/>
        </w:rPr>
        <w:tab/>
      </w:r>
      <w:r w:rsidR="00951551">
        <w:rPr>
          <w:noProof/>
        </w:rPr>
        <w:fldChar w:fldCharType="begin"/>
      </w:r>
      <w:r>
        <w:rPr>
          <w:noProof/>
        </w:rPr>
        <w:instrText xml:space="preserve"> PAGEREF _Toc339368819 \h </w:instrText>
      </w:r>
      <w:r w:rsidR="00951551">
        <w:rPr>
          <w:noProof/>
        </w:rPr>
      </w:r>
      <w:r w:rsidR="00951551">
        <w:rPr>
          <w:noProof/>
        </w:rPr>
        <w:fldChar w:fldCharType="separate"/>
      </w:r>
      <w:r>
        <w:rPr>
          <w:noProof/>
        </w:rPr>
        <w:t>33</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Table 5.2: Amount and percentage of financing by source for Social and Economic Infrastructure projects</w:t>
      </w:r>
      <w:r>
        <w:rPr>
          <w:noProof/>
        </w:rPr>
        <w:tab/>
      </w:r>
      <w:r w:rsidR="00951551">
        <w:rPr>
          <w:noProof/>
        </w:rPr>
        <w:fldChar w:fldCharType="begin"/>
      </w:r>
      <w:r>
        <w:rPr>
          <w:noProof/>
        </w:rPr>
        <w:instrText xml:space="preserve"> PAGEREF _Toc339368820 \h </w:instrText>
      </w:r>
      <w:r w:rsidR="00951551">
        <w:rPr>
          <w:noProof/>
        </w:rPr>
      </w:r>
      <w:r w:rsidR="00951551">
        <w:rPr>
          <w:noProof/>
        </w:rPr>
        <w:fldChar w:fldCharType="separate"/>
      </w:r>
      <w:r>
        <w:rPr>
          <w:noProof/>
        </w:rPr>
        <w:t>34</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7.1: Number of trained IDP and local adolescents in life skills</w:t>
      </w:r>
      <w:r>
        <w:rPr>
          <w:noProof/>
        </w:rPr>
        <w:tab/>
      </w:r>
      <w:r w:rsidR="00951551">
        <w:rPr>
          <w:noProof/>
        </w:rPr>
        <w:fldChar w:fldCharType="begin"/>
      </w:r>
      <w:r>
        <w:rPr>
          <w:noProof/>
        </w:rPr>
        <w:instrText xml:space="preserve"> PAGEREF _Toc339368821 \h </w:instrText>
      </w:r>
      <w:r w:rsidR="00951551">
        <w:rPr>
          <w:noProof/>
        </w:rPr>
      </w:r>
      <w:r w:rsidR="00951551">
        <w:rPr>
          <w:noProof/>
        </w:rPr>
        <w:fldChar w:fldCharType="separate"/>
      </w:r>
      <w:r>
        <w:rPr>
          <w:noProof/>
        </w:rPr>
        <w:t>49</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7.2: Share of correctly answered questions for Life Skills training module 3, Pre-test vs. Post-test results (N=1035)</w:t>
      </w:r>
      <w:r>
        <w:rPr>
          <w:noProof/>
        </w:rPr>
        <w:tab/>
      </w:r>
      <w:r w:rsidR="00951551">
        <w:rPr>
          <w:noProof/>
        </w:rPr>
        <w:fldChar w:fldCharType="begin"/>
      </w:r>
      <w:r>
        <w:rPr>
          <w:noProof/>
        </w:rPr>
        <w:instrText xml:space="preserve"> PAGEREF _Toc339368822 \h </w:instrText>
      </w:r>
      <w:r w:rsidR="00951551">
        <w:rPr>
          <w:noProof/>
        </w:rPr>
      </w:r>
      <w:r w:rsidR="00951551">
        <w:rPr>
          <w:noProof/>
        </w:rPr>
        <w:fldChar w:fldCharType="separate"/>
      </w:r>
      <w:r>
        <w:rPr>
          <w:noProof/>
        </w:rPr>
        <w:t>52</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7.3: Share of correctly answered questions for Life Skills training module 4, Pre-test vs. Post-test results (N=841)</w:t>
      </w:r>
      <w:r>
        <w:rPr>
          <w:noProof/>
        </w:rPr>
        <w:tab/>
      </w:r>
      <w:r w:rsidR="00951551">
        <w:rPr>
          <w:noProof/>
        </w:rPr>
        <w:fldChar w:fldCharType="begin"/>
      </w:r>
      <w:r>
        <w:rPr>
          <w:noProof/>
        </w:rPr>
        <w:instrText xml:space="preserve"> PAGEREF _Toc339368823 \h </w:instrText>
      </w:r>
      <w:r w:rsidR="00951551">
        <w:rPr>
          <w:noProof/>
        </w:rPr>
      </w:r>
      <w:r w:rsidR="00951551">
        <w:rPr>
          <w:noProof/>
        </w:rPr>
        <w:fldChar w:fldCharType="separate"/>
      </w:r>
      <w:r>
        <w:rPr>
          <w:noProof/>
        </w:rPr>
        <w:t>52</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7.4: Share of correctly answered questions for Life Skills training module 5</w:t>
      </w:r>
      <w:r w:rsidRPr="00712709">
        <w:rPr>
          <w:i/>
          <w:noProof/>
        </w:rPr>
        <w:t>,</w:t>
      </w:r>
      <w:r>
        <w:rPr>
          <w:noProof/>
        </w:rPr>
        <w:t xml:space="preserve"> Pre-test vs. Post-test results (N=826)</w:t>
      </w:r>
      <w:r>
        <w:rPr>
          <w:noProof/>
        </w:rPr>
        <w:tab/>
      </w:r>
      <w:r w:rsidR="00951551">
        <w:rPr>
          <w:noProof/>
        </w:rPr>
        <w:fldChar w:fldCharType="begin"/>
      </w:r>
      <w:r>
        <w:rPr>
          <w:noProof/>
        </w:rPr>
        <w:instrText xml:space="preserve"> PAGEREF _Toc339368824 \h </w:instrText>
      </w:r>
      <w:r w:rsidR="00951551">
        <w:rPr>
          <w:noProof/>
        </w:rPr>
      </w:r>
      <w:r w:rsidR="00951551">
        <w:rPr>
          <w:noProof/>
        </w:rPr>
        <w:fldChar w:fldCharType="separate"/>
      </w:r>
      <w:r>
        <w:rPr>
          <w:noProof/>
        </w:rPr>
        <w:t>53</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Figure 7.5: Share of correctly answered questions for Life Skills training module 6, Pre-test vs. Post-test results (N=820)</w:t>
      </w:r>
      <w:r>
        <w:rPr>
          <w:noProof/>
        </w:rPr>
        <w:tab/>
      </w:r>
      <w:r w:rsidR="00951551">
        <w:rPr>
          <w:noProof/>
        </w:rPr>
        <w:fldChar w:fldCharType="begin"/>
      </w:r>
      <w:r>
        <w:rPr>
          <w:noProof/>
        </w:rPr>
        <w:instrText xml:space="preserve"> PAGEREF _Toc339368825 \h </w:instrText>
      </w:r>
      <w:r w:rsidR="00951551">
        <w:rPr>
          <w:noProof/>
        </w:rPr>
      </w:r>
      <w:r w:rsidR="00951551">
        <w:rPr>
          <w:noProof/>
        </w:rPr>
        <w:fldChar w:fldCharType="separate"/>
      </w:r>
      <w:r>
        <w:rPr>
          <w:noProof/>
        </w:rPr>
        <w:t>53</w:t>
      </w:r>
      <w:r w:rsidR="00951551">
        <w:rPr>
          <w:noProof/>
        </w:rPr>
        <w:fldChar w:fldCharType="end"/>
      </w:r>
    </w:p>
    <w:p w:rsidR="006F061F" w:rsidRPr="0034148C" w:rsidRDefault="00951551" w:rsidP="00507BA2">
      <w:pPr>
        <w:spacing w:after="200"/>
        <w:ind w:left="360" w:hanging="360"/>
      </w:pPr>
      <w:r>
        <w:fldChar w:fldCharType="end"/>
      </w:r>
      <w:r w:rsidR="006F061F" w:rsidRPr="0034148C">
        <w:br w:type="page"/>
      </w:r>
    </w:p>
    <w:p w:rsidR="006F061F" w:rsidRPr="0034148C" w:rsidRDefault="00BA5DC5" w:rsidP="00555BE4">
      <w:pPr>
        <w:pStyle w:val="Heading1"/>
      </w:pPr>
      <w:bookmarkStart w:id="25" w:name="_Toc338325583"/>
      <w:bookmarkStart w:id="26" w:name="_Toc338572107"/>
      <w:bookmarkStart w:id="27" w:name="_Toc338717115"/>
      <w:bookmarkStart w:id="28" w:name="_Toc338750146"/>
      <w:bookmarkStart w:id="29" w:name="_Toc339368739"/>
      <w:r w:rsidRPr="0034148C">
        <w:lastRenderedPageBreak/>
        <w:t>List of T</w:t>
      </w:r>
      <w:r w:rsidR="006F061F" w:rsidRPr="0034148C">
        <w:t>ables</w:t>
      </w:r>
      <w:bookmarkEnd w:id="25"/>
      <w:bookmarkEnd w:id="26"/>
      <w:bookmarkEnd w:id="27"/>
      <w:bookmarkEnd w:id="28"/>
      <w:bookmarkEnd w:id="29"/>
    </w:p>
    <w:p w:rsidR="00507BA2" w:rsidRDefault="00951551" w:rsidP="00507BA2">
      <w:pPr>
        <w:pStyle w:val="TableofFigures"/>
        <w:tabs>
          <w:tab w:val="right" w:leader="dot" w:pos="9350"/>
        </w:tabs>
        <w:ind w:left="360" w:hanging="360"/>
        <w:rPr>
          <w:rFonts w:asciiTheme="minorHAnsi" w:eastAsiaTheme="minorEastAsia" w:hAnsiTheme="minorHAnsi"/>
          <w:noProof/>
          <w:szCs w:val="28"/>
          <w:lang w:bidi="th-TH"/>
        </w:rPr>
      </w:pPr>
      <w:r>
        <w:fldChar w:fldCharType="begin"/>
      </w:r>
      <w:r w:rsidR="00507BA2">
        <w:instrText xml:space="preserve"> TOC \t "Heading 4" \c </w:instrText>
      </w:r>
      <w:r>
        <w:fldChar w:fldCharType="separate"/>
      </w:r>
      <w:r w:rsidR="00507BA2">
        <w:rPr>
          <w:noProof/>
        </w:rPr>
        <w:t>Table 2.1 Focus group discussions conducted for the final evaluation</w:t>
      </w:r>
      <w:r w:rsidR="00507BA2">
        <w:rPr>
          <w:noProof/>
        </w:rPr>
        <w:tab/>
      </w:r>
      <w:r>
        <w:rPr>
          <w:noProof/>
        </w:rPr>
        <w:fldChar w:fldCharType="begin"/>
      </w:r>
      <w:r w:rsidR="00507BA2">
        <w:rPr>
          <w:noProof/>
        </w:rPr>
        <w:instrText xml:space="preserve"> PAGEREF _Toc339368877 \h </w:instrText>
      </w:r>
      <w:r>
        <w:rPr>
          <w:noProof/>
        </w:rPr>
      </w:r>
      <w:r>
        <w:rPr>
          <w:noProof/>
        </w:rPr>
        <w:fldChar w:fldCharType="separate"/>
      </w:r>
      <w:r w:rsidR="00507BA2">
        <w:rPr>
          <w:noProof/>
        </w:rPr>
        <w:t>6</w:t>
      </w:r>
      <w:r>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Table 4.1.1 Summary data from the Agricultural Machinery program across nine groups</w:t>
      </w:r>
      <w:r>
        <w:rPr>
          <w:noProof/>
        </w:rPr>
        <w:tab/>
      </w:r>
      <w:r w:rsidR="00951551">
        <w:rPr>
          <w:noProof/>
        </w:rPr>
        <w:fldChar w:fldCharType="begin"/>
      </w:r>
      <w:r>
        <w:rPr>
          <w:noProof/>
        </w:rPr>
        <w:instrText xml:space="preserve"> PAGEREF _Toc339368878 \h </w:instrText>
      </w:r>
      <w:r w:rsidR="00951551">
        <w:rPr>
          <w:noProof/>
        </w:rPr>
      </w:r>
      <w:r w:rsidR="00951551">
        <w:rPr>
          <w:noProof/>
        </w:rPr>
        <w:fldChar w:fldCharType="separate"/>
      </w:r>
      <w:r>
        <w:rPr>
          <w:noProof/>
        </w:rPr>
        <w:t>9</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Table 4.2.1 Number of businesses funded by the grants to women entrepreneurs program by type of enterprise, operational status and profitability</w:t>
      </w:r>
      <w:r>
        <w:rPr>
          <w:noProof/>
        </w:rPr>
        <w:tab/>
      </w:r>
      <w:r w:rsidR="00951551">
        <w:rPr>
          <w:noProof/>
        </w:rPr>
        <w:fldChar w:fldCharType="begin"/>
      </w:r>
      <w:r>
        <w:rPr>
          <w:noProof/>
        </w:rPr>
        <w:instrText xml:space="preserve"> PAGEREF _Toc339368879 \h </w:instrText>
      </w:r>
      <w:r w:rsidR="00951551">
        <w:rPr>
          <w:noProof/>
        </w:rPr>
      </w:r>
      <w:r w:rsidR="00951551">
        <w:rPr>
          <w:noProof/>
        </w:rPr>
        <w:fldChar w:fldCharType="separate"/>
      </w:r>
      <w:r>
        <w:rPr>
          <w:noProof/>
        </w:rPr>
        <w:t>15</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Table 4.2.2 Total net profit made by the women entrepreneurs program by type of enterprise (in USD)</w:t>
      </w:r>
      <w:r>
        <w:rPr>
          <w:noProof/>
        </w:rPr>
        <w:tab/>
      </w:r>
      <w:r w:rsidR="00951551">
        <w:rPr>
          <w:noProof/>
        </w:rPr>
        <w:fldChar w:fldCharType="begin"/>
      </w:r>
      <w:r>
        <w:rPr>
          <w:noProof/>
        </w:rPr>
        <w:instrText xml:space="preserve"> PAGEREF _Toc339368880 \h </w:instrText>
      </w:r>
      <w:r w:rsidR="00951551">
        <w:rPr>
          <w:noProof/>
        </w:rPr>
      </w:r>
      <w:r w:rsidR="00951551">
        <w:rPr>
          <w:noProof/>
        </w:rPr>
        <w:fldChar w:fldCharType="separate"/>
      </w:r>
      <w:r>
        <w:rPr>
          <w:noProof/>
        </w:rPr>
        <w:t>16</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Table 4.2.3 Average monthly profits earned by women entrepreneurs by type of enterprise (in USD)</w:t>
      </w:r>
      <w:r>
        <w:rPr>
          <w:noProof/>
        </w:rPr>
        <w:tab/>
      </w:r>
      <w:r w:rsidR="00951551">
        <w:rPr>
          <w:noProof/>
        </w:rPr>
        <w:fldChar w:fldCharType="begin"/>
      </w:r>
      <w:r>
        <w:rPr>
          <w:noProof/>
        </w:rPr>
        <w:instrText xml:space="preserve"> PAGEREF _Toc339368881 \h </w:instrText>
      </w:r>
      <w:r w:rsidR="00951551">
        <w:rPr>
          <w:noProof/>
        </w:rPr>
      </w:r>
      <w:r w:rsidR="00951551">
        <w:rPr>
          <w:noProof/>
        </w:rPr>
        <w:fldChar w:fldCharType="separate"/>
      </w:r>
      <w:r>
        <w:rPr>
          <w:noProof/>
        </w:rPr>
        <w:t>17</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Table 4.3.1: Number of IDP employees at Grants-for-Jobs enterprises</w:t>
      </w:r>
      <w:r>
        <w:rPr>
          <w:noProof/>
        </w:rPr>
        <w:tab/>
      </w:r>
      <w:r w:rsidR="00951551">
        <w:rPr>
          <w:noProof/>
        </w:rPr>
        <w:fldChar w:fldCharType="begin"/>
      </w:r>
      <w:r>
        <w:rPr>
          <w:noProof/>
        </w:rPr>
        <w:instrText xml:space="preserve"> PAGEREF _Toc339368882 \h </w:instrText>
      </w:r>
      <w:r w:rsidR="00951551">
        <w:rPr>
          <w:noProof/>
        </w:rPr>
      </w:r>
      <w:r w:rsidR="00951551">
        <w:rPr>
          <w:noProof/>
        </w:rPr>
        <w:fldChar w:fldCharType="separate"/>
      </w:r>
      <w:r>
        <w:rPr>
          <w:noProof/>
        </w:rPr>
        <w:t>27</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Table 4.3.2: Grant amount and cumulative wages paid to grants-for-jobs employees by the end of the project period (in USD)</w:t>
      </w:r>
      <w:r>
        <w:rPr>
          <w:noProof/>
        </w:rPr>
        <w:tab/>
      </w:r>
      <w:r w:rsidR="00951551">
        <w:rPr>
          <w:noProof/>
        </w:rPr>
        <w:fldChar w:fldCharType="begin"/>
      </w:r>
      <w:r>
        <w:rPr>
          <w:noProof/>
        </w:rPr>
        <w:instrText xml:space="preserve"> PAGEREF _Toc339368883 \h </w:instrText>
      </w:r>
      <w:r w:rsidR="00951551">
        <w:rPr>
          <w:noProof/>
        </w:rPr>
      </w:r>
      <w:r w:rsidR="00951551">
        <w:rPr>
          <w:noProof/>
        </w:rPr>
        <w:fldChar w:fldCharType="separate"/>
      </w:r>
      <w:r>
        <w:rPr>
          <w:noProof/>
        </w:rPr>
        <w:t>29</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Table 5.1: Total number of infrastructure projects by type</w:t>
      </w:r>
      <w:r>
        <w:rPr>
          <w:noProof/>
        </w:rPr>
        <w:tab/>
      </w:r>
      <w:r w:rsidR="00951551">
        <w:rPr>
          <w:noProof/>
        </w:rPr>
        <w:fldChar w:fldCharType="begin"/>
      </w:r>
      <w:r>
        <w:rPr>
          <w:noProof/>
        </w:rPr>
        <w:instrText xml:space="preserve"> PAGEREF _Toc339368884 \h </w:instrText>
      </w:r>
      <w:r w:rsidR="00951551">
        <w:rPr>
          <w:noProof/>
        </w:rPr>
      </w:r>
      <w:r w:rsidR="00951551">
        <w:rPr>
          <w:noProof/>
        </w:rPr>
        <w:fldChar w:fldCharType="separate"/>
      </w:r>
      <w:r>
        <w:rPr>
          <w:noProof/>
        </w:rPr>
        <w:t>32</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Table 6.1: Assessment of effectiveness of a sample of CSO organizations in promoting integration and advocacy</w:t>
      </w:r>
      <w:r>
        <w:rPr>
          <w:noProof/>
        </w:rPr>
        <w:tab/>
      </w:r>
      <w:r w:rsidR="00951551">
        <w:rPr>
          <w:noProof/>
        </w:rPr>
        <w:fldChar w:fldCharType="begin"/>
      </w:r>
      <w:r>
        <w:rPr>
          <w:noProof/>
        </w:rPr>
        <w:instrText xml:space="preserve"> PAGEREF _Toc339368885 \h </w:instrText>
      </w:r>
      <w:r w:rsidR="00951551">
        <w:rPr>
          <w:noProof/>
        </w:rPr>
      </w:r>
      <w:r w:rsidR="00951551">
        <w:rPr>
          <w:noProof/>
        </w:rPr>
        <w:fldChar w:fldCharType="separate"/>
      </w:r>
      <w:r>
        <w:rPr>
          <w:noProof/>
        </w:rPr>
        <w:t>39</w:t>
      </w:r>
      <w:r w:rsidR="00951551">
        <w:rPr>
          <w:noProof/>
        </w:rPr>
        <w:fldChar w:fldCharType="end"/>
      </w:r>
    </w:p>
    <w:p w:rsidR="00507BA2" w:rsidRDefault="00507BA2" w:rsidP="00507BA2">
      <w:pPr>
        <w:pStyle w:val="TableofFigures"/>
        <w:tabs>
          <w:tab w:val="right" w:leader="dot" w:pos="9350"/>
        </w:tabs>
        <w:ind w:left="360" w:hanging="360"/>
        <w:rPr>
          <w:rFonts w:asciiTheme="minorHAnsi" w:eastAsiaTheme="minorEastAsia" w:hAnsiTheme="minorHAnsi"/>
          <w:noProof/>
          <w:szCs w:val="28"/>
          <w:lang w:bidi="th-TH"/>
        </w:rPr>
      </w:pPr>
      <w:r>
        <w:rPr>
          <w:noProof/>
        </w:rPr>
        <w:t>Table 6.2: Capacity scores by domain for a sample of CSO organizations</w:t>
      </w:r>
      <w:r>
        <w:rPr>
          <w:noProof/>
        </w:rPr>
        <w:tab/>
      </w:r>
      <w:r w:rsidR="00951551">
        <w:rPr>
          <w:noProof/>
        </w:rPr>
        <w:fldChar w:fldCharType="begin"/>
      </w:r>
      <w:r>
        <w:rPr>
          <w:noProof/>
        </w:rPr>
        <w:instrText xml:space="preserve"> PAGEREF _Toc339368886 \h </w:instrText>
      </w:r>
      <w:r w:rsidR="00951551">
        <w:rPr>
          <w:noProof/>
        </w:rPr>
      </w:r>
      <w:r w:rsidR="00951551">
        <w:rPr>
          <w:noProof/>
        </w:rPr>
        <w:fldChar w:fldCharType="separate"/>
      </w:r>
      <w:r>
        <w:rPr>
          <w:noProof/>
        </w:rPr>
        <w:t>44</w:t>
      </w:r>
      <w:r w:rsidR="00951551">
        <w:rPr>
          <w:noProof/>
        </w:rPr>
        <w:fldChar w:fldCharType="end"/>
      </w:r>
    </w:p>
    <w:p w:rsidR="006F061F" w:rsidRPr="0034148C" w:rsidRDefault="00951551" w:rsidP="00835BAB">
      <w:pPr>
        <w:spacing w:after="200"/>
      </w:pPr>
      <w:r>
        <w:fldChar w:fldCharType="end"/>
      </w:r>
    </w:p>
    <w:p w:rsidR="006F061F" w:rsidRPr="0034148C" w:rsidRDefault="006F061F" w:rsidP="00835BAB">
      <w:pPr>
        <w:spacing w:after="200"/>
      </w:pPr>
    </w:p>
    <w:p w:rsidR="006F061F" w:rsidRPr="0034148C" w:rsidRDefault="006F061F" w:rsidP="00835BAB">
      <w:pPr>
        <w:spacing w:after="200"/>
      </w:pPr>
    </w:p>
    <w:p w:rsidR="006F061F" w:rsidRPr="0034148C" w:rsidRDefault="006F061F" w:rsidP="00835BAB">
      <w:pPr>
        <w:spacing w:after="200"/>
      </w:pPr>
    </w:p>
    <w:p w:rsidR="006F061F" w:rsidRPr="0034148C" w:rsidRDefault="006F061F" w:rsidP="00835BAB">
      <w:pPr>
        <w:spacing w:after="200"/>
        <w:sectPr w:rsidR="006F061F" w:rsidRPr="0034148C" w:rsidSect="0070662F">
          <w:footerReference w:type="default" r:id="rId13"/>
          <w:footerReference w:type="first" r:id="rId14"/>
          <w:pgSz w:w="12240" w:h="15840"/>
          <w:pgMar w:top="1440" w:right="1440" w:bottom="1440" w:left="1440" w:header="720" w:footer="432" w:gutter="0"/>
          <w:pgNumType w:fmt="lowerRoman" w:start="1"/>
          <w:cols w:space="720"/>
          <w:docGrid w:linePitch="360"/>
        </w:sectPr>
      </w:pPr>
    </w:p>
    <w:p w:rsidR="00835BAB" w:rsidRPr="0034148C" w:rsidRDefault="003C170B" w:rsidP="00555BE4">
      <w:pPr>
        <w:pStyle w:val="Heading1"/>
      </w:pPr>
      <w:bookmarkStart w:id="30" w:name="_Toc338325584"/>
      <w:bookmarkStart w:id="31" w:name="_Toc338572108"/>
      <w:bookmarkStart w:id="32" w:name="_Toc338717116"/>
      <w:bookmarkStart w:id="33" w:name="_Toc338750147"/>
      <w:bookmarkStart w:id="34" w:name="_Toc339368740"/>
      <w:r w:rsidRPr="0034148C">
        <w:lastRenderedPageBreak/>
        <w:t xml:space="preserve">1. </w:t>
      </w:r>
      <w:r w:rsidR="00BA5DC5" w:rsidRPr="0034148C">
        <w:t>I</w:t>
      </w:r>
      <w:r w:rsidR="0046020E" w:rsidRPr="0034148C">
        <w:t>ntroduction</w:t>
      </w:r>
      <w:bookmarkEnd w:id="30"/>
      <w:bookmarkEnd w:id="31"/>
      <w:bookmarkEnd w:id="32"/>
      <w:bookmarkEnd w:id="33"/>
      <w:bookmarkEnd w:id="34"/>
      <w:r w:rsidR="0046020E" w:rsidRPr="0034148C">
        <w:t xml:space="preserve"> </w:t>
      </w:r>
    </w:p>
    <w:p w:rsidR="008458FA" w:rsidRPr="0034148C" w:rsidRDefault="00534170" w:rsidP="00107D22">
      <w:pPr>
        <w:rPr>
          <w:rFonts w:cs="Arial"/>
        </w:rPr>
      </w:pPr>
      <w:r w:rsidRPr="0034148C">
        <w:t xml:space="preserve">Since </w:t>
      </w:r>
      <w:r w:rsidR="00C70619" w:rsidRPr="0034148C">
        <w:t>the war in Georgia in August 2008</w:t>
      </w:r>
      <w:r w:rsidRPr="0034148C">
        <w:t>, approximately</w:t>
      </w:r>
      <w:r w:rsidR="00C70619" w:rsidRPr="0034148C">
        <w:t xml:space="preserve"> 27,000 people </w:t>
      </w:r>
      <w:r w:rsidRPr="0034148C">
        <w:t>have been</w:t>
      </w:r>
      <w:r w:rsidR="00C70619" w:rsidRPr="0034148C">
        <w:t xml:space="preserve"> unable to return to their homes in and around South Ossetia. Some 18,000 of these</w:t>
      </w:r>
      <w:r w:rsidRPr="0034148C">
        <w:t xml:space="preserve"> internally displaced people (IDPs)</w:t>
      </w:r>
      <w:r w:rsidR="00C70619" w:rsidRPr="0034148C">
        <w:t xml:space="preserve"> </w:t>
      </w:r>
      <w:proofErr w:type="gramStart"/>
      <w:r w:rsidRPr="0034148C">
        <w:t xml:space="preserve">were </w:t>
      </w:r>
      <w:r w:rsidR="00C70619" w:rsidRPr="0034148C">
        <w:t>sent</w:t>
      </w:r>
      <w:proofErr w:type="gramEnd"/>
      <w:r w:rsidR="00C70619" w:rsidRPr="0034148C">
        <w:t xml:space="preserve"> to new settlement areas</w:t>
      </w:r>
      <w:r w:rsidRPr="0034148C">
        <w:t xml:space="preserve"> that were</w:t>
      </w:r>
      <w:r w:rsidR="00C70619" w:rsidRPr="0034148C">
        <w:t xml:space="preserve"> built by the Government in late 2008.  </w:t>
      </w:r>
      <w:r w:rsidRPr="0034148C">
        <w:rPr>
          <w:rFonts w:cs="Arial"/>
        </w:rPr>
        <w:t xml:space="preserve">These settlement areas </w:t>
      </w:r>
      <w:proofErr w:type="gramStart"/>
      <w:r w:rsidRPr="0034148C">
        <w:rPr>
          <w:rFonts w:cs="Arial"/>
        </w:rPr>
        <w:t>were constructed</w:t>
      </w:r>
      <w:proofErr w:type="gramEnd"/>
      <w:r w:rsidRPr="0034148C">
        <w:rPr>
          <w:rFonts w:cs="Arial"/>
        </w:rPr>
        <w:t xml:space="preserve"> in great haste,</w:t>
      </w:r>
      <w:r w:rsidR="0076700B">
        <w:rPr>
          <w:rFonts w:cs="Arial"/>
        </w:rPr>
        <w:t xml:space="preserve"> some from former schools and other non-residence facilities</w:t>
      </w:r>
      <w:r w:rsidRPr="0034148C">
        <w:rPr>
          <w:rFonts w:cs="Arial"/>
        </w:rPr>
        <w:t>.</w:t>
      </w:r>
      <w:r w:rsidR="008458FA" w:rsidRPr="0034148C">
        <w:rPr>
          <w:rFonts w:cs="Arial"/>
        </w:rPr>
        <w:t xml:space="preserve"> </w:t>
      </w:r>
      <w:r w:rsidR="0076700B">
        <w:rPr>
          <w:rFonts w:cs="Arial"/>
        </w:rPr>
        <w:t xml:space="preserve">Even at present, </w:t>
      </w:r>
      <w:r w:rsidR="008458FA" w:rsidRPr="0034148C">
        <w:rPr>
          <w:rFonts w:cs="Arial"/>
        </w:rPr>
        <w:t xml:space="preserve">IDPs </w:t>
      </w:r>
      <w:proofErr w:type="gramStart"/>
      <w:r w:rsidRPr="0034148C">
        <w:rPr>
          <w:rFonts w:cs="Arial"/>
        </w:rPr>
        <w:t>are hous</w:t>
      </w:r>
      <w:r w:rsidR="008458FA" w:rsidRPr="0034148C">
        <w:rPr>
          <w:rFonts w:cs="Arial"/>
        </w:rPr>
        <w:t>ed</w:t>
      </w:r>
      <w:proofErr w:type="gramEnd"/>
      <w:r w:rsidR="008458FA" w:rsidRPr="0034148C">
        <w:rPr>
          <w:rFonts w:cs="Arial"/>
        </w:rPr>
        <w:t xml:space="preserve"> in </w:t>
      </w:r>
      <w:r w:rsidRPr="0034148C">
        <w:rPr>
          <w:rFonts w:cs="Arial"/>
        </w:rPr>
        <w:t>compounds lacking basic services of sewage, t</w:t>
      </w:r>
      <w:r w:rsidR="008458FA" w:rsidRPr="0034148C">
        <w:rPr>
          <w:rFonts w:cs="Arial"/>
        </w:rPr>
        <w:t>ransport, shops, community center</w:t>
      </w:r>
      <w:r w:rsidRPr="0034148C">
        <w:rPr>
          <w:rFonts w:cs="Arial"/>
        </w:rPr>
        <w:t xml:space="preserve">s, and schools. </w:t>
      </w:r>
    </w:p>
    <w:p w:rsidR="0033249D" w:rsidRPr="0034148C" w:rsidRDefault="008458FA" w:rsidP="0033249D">
      <w:pPr>
        <w:rPr>
          <w:rFonts w:cs="Arial"/>
        </w:rPr>
      </w:pPr>
      <w:r w:rsidRPr="0034148C">
        <w:rPr>
          <w:rFonts w:cs="Arial"/>
        </w:rPr>
        <w:t xml:space="preserve">Most of the new settlements </w:t>
      </w:r>
      <w:proofErr w:type="gramStart"/>
      <w:r w:rsidRPr="0034148C">
        <w:rPr>
          <w:rFonts w:cs="Arial"/>
        </w:rPr>
        <w:t>are sited</w:t>
      </w:r>
      <w:proofErr w:type="gramEnd"/>
      <w:r w:rsidRPr="0034148C">
        <w:rPr>
          <w:rFonts w:cs="Arial"/>
        </w:rPr>
        <w:t xml:space="preserve"> in rural areas, and most of the IDPs have left agriculturally based livelihoods behind. However, the plots of land provided to IDPs were very small (typically 0.5 Ha) and </w:t>
      </w:r>
      <w:r w:rsidR="0076700B">
        <w:rPr>
          <w:rFonts w:cs="Arial"/>
        </w:rPr>
        <w:t>do</w:t>
      </w:r>
      <w:r w:rsidRPr="0034148C">
        <w:rPr>
          <w:rFonts w:cs="Arial"/>
        </w:rPr>
        <w:t xml:space="preserve"> not provide sufficient incomes to provide for a family. </w:t>
      </w:r>
      <w:r w:rsidR="0033249D" w:rsidRPr="0034148C">
        <w:rPr>
          <w:rFonts w:cs="Arial"/>
        </w:rPr>
        <w:t xml:space="preserve">In these rural </w:t>
      </w:r>
      <w:proofErr w:type="gramStart"/>
      <w:r w:rsidR="0033249D" w:rsidRPr="0034148C">
        <w:rPr>
          <w:rFonts w:cs="Arial"/>
        </w:rPr>
        <w:t>settings</w:t>
      </w:r>
      <w:proofErr w:type="gramEnd"/>
      <w:r w:rsidR="0033249D" w:rsidRPr="0034148C">
        <w:rPr>
          <w:rFonts w:cs="Arial"/>
        </w:rPr>
        <w:t xml:space="preserve"> there is a </w:t>
      </w:r>
      <w:r w:rsidR="00155314" w:rsidRPr="0034148C">
        <w:rPr>
          <w:rFonts w:cs="Arial"/>
        </w:rPr>
        <w:t>well-documented</w:t>
      </w:r>
      <w:r w:rsidR="0033249D" w:rsidRPr="0034148C">
        <w:rPr>
          <w:rFonts w:cs="Arial"/>
        </w:rPr>
        <w:t xml:space="preserve"> lack of agricultural machinery services, which reduces the area under cultivation and so further reduces</w:t>
      </w:r>
      <w:r w:rsidR="0076700B">
        <w:rPr>
          <w:rFonts w:cs="Arial"/>
        </w:rPr>
        <w:t xml:space="preserve"> incomes</w:t>
      </w:r>
      <w:r w:rsidR="0033249D" w:rsidRPr="0034148C">
        <w:rPr>
          <w:rFonts w:cs="Arial"/>
        </w:rPr>
        <w:t>.</w:t>
      </w:r>
    </w:p>
    <w:p w:rsidR="0033249D" w:rsidRPr="0034148C" w:rsidRDefault="006804D8" w:rsidP="006804D8">
      <w:r w:rsidRPr="0034148C">
        <w:rPr>
          <w:rFonts w:cs="Arial"/>
        </w:rPr>
        <w:t>In municipal areas, l</w:t>
      </w:r>
      <w:r w:rsidR="0033249D" w:rsidRPr="0034148C">
        <w:rPr>
          <w:rFonts w:cs="Arial"/>
        </w:rPr>
        <w:t>ocal businesses are under</w:t>
      </w:r>
      <w:r w:rsidRPr="0034148C">
        <w:rPr>
          <w:rFonts w:cs="Arial"/>
        </w:rPr>
        <w:t>-</w:t>
      </w:r>
      <w:r w:rsidR="0033249D" w:rsidRPr="0034148C">
        <w:rPr>
          <w:rFonts w:cs="Arial"/>
        </w:rPr>
        <w:t xml:space="preserve">capitalized and cannot absorb more labor from IDP settlements. New opportunities for services and products may arise </w:t>
      </w:r>
      <w:proofErr w:type="gramStart"/>
      <w:r w:rsidR="0033249D" w:rsidRPr="0034148C">
        <w:rPr>
          <w:rFonts w:cs="Arial"/>
        </w:rPr>
        <w:t>as a result</w:t>
      </w:r>
      <w:proofErr w:type="gramEnd"/>
      <w:r w:rsidR="0033249D" w:rsidRPr="0034148C">
        <w:rPr>
          <w:rFonts w:cs="Arial"/>
        </w:rPr>
        <w:t xml:space="preserve"> of the new</w:t>
      </w:r>
      <w:r w:rsidR="0076700B">
        <w:rPr>
          <w:rFonts w:cs="Arial"/>
        </w:rPr>
        <w:t xml:space="preserve"> inhabitants</w:t>
      </w:r>
      <w:r w:rsidR="0033249D" w:rsidRPr="0034148C">
        <w:rPr>
          <w:rFonts w:cs="Arial"/>
        </w:rPr>
        <w:t xml:space="preserve">, but local businesses are unable to take action as they have no means to do so. </w:t>
      </w:r>
      <w:proofErr w:type="gramStart"/>
      <w:r w:rsidRPr="0034148C">
        <w:rPr>
          <w:rFonts w:cs="Arial"/>
        </w:rPr>
        <w:t>No integration plans were developed by the local municipalities, who were not involved in the construction of the settlements</w:t>
      </w:r>
      <w:proofErr w:type="gramEnd"/>
      <w:r w:rsidRPr="0034148C">
        <w:rPr>
          <w:rFonts w:cs="Arial"/>
        </w:rPr>
        <w:t xml:space="preserve">. </w:t>
      </w:r>
      <w:r w:rsidR="00534170" w:rsidRPr="0034148C">
        <w:t xml:space="preserve">Pressure on the local job market, on </w:t>
      </w:r>
      <w:r w:rsidR="006878F8">
        <w:t xml:space="preserve">services and on resources </w:t>
      </w:r>
      <w:r w:rsidR="00107D22" w:rsidRPr="0034148C">
        <w:t>can</w:t>
      </w:r>
      <w:r w:rsidR="006878F8">
        <w:t xml:space="preserve"> create conflicts that create </w:t>
      </w:r>
      <w:r w:rsidR="00534170" w:rsidRPr="0034148C">
        <w:t>divid</w:t>
      </w:r>
      <w:r w:rsidR="006878F8">
        <w:t>es between</w:t>
      </w:r>
      <w:r w:rsidR="00534170" w:rsidRPr="0034148C">
        <w:t xml:space="preserve"> IDP settlements </w:t>
      </w:r>
      <w:r w:rsidR="006878F8">
        <w:t xml:space="preserve">and </w:t>
      </w:r>
      <w:r w:rsidR="00534170" w:rsidRPr="0034148C">
        <w:t xml:space="preserve">local villages and towns. </w:t>
      </w:r>
    </w:p>
    <w:p w:rsidR="0033249D" w:rsidRPr="0034148C" w:rsidRDefault="0033249D" w:rsidP="006804D8">
      <w:r w:rsidRPr="0034148C">
        <w:t>The sudden influx into local schools of large numbers of IDP children and adolesc</w:t>
      </w:r>
      <w:r w:rsidR="006804D8" w:rsidRPr="0034148C">
        <w:t>e</w:t>
      </w:r>
      <w:r w:rsidRPr="0034148C">
        <w:t>nts, many of whom suffered traumatic experiences,</w:t>
      </w:r>
      <w:r w:rsidR="006878F8">
        <w:t xml:space="preserve"> was also problematic</w:t>
      </w:r>
      <w:r w:rsidRPr="0034148C">
        <w:t xml:space="preserve">. Teachers are untrained and lack equipment and facilities to address such issues, and </w:t>
      </w:r>
      <w:proofErr w:type="gramStart"/>
      <w:r w:rsidRPr="0034148C">
        <w:t>are not guided</w:t>
      </w:r>
      <w:proofErr w:type="gramEnd"/>
      <w:r w:rsidRPr="0034148C">
        <w:t xml:space="preserve"> by an IDP integration program from their </w:t>
      </w:r>
      <w:r w:rsidR="006878F8">
        <w:t>m</w:t>
      </w:r>
      <w:r w:rsidRPr="0034148C">
        <w:t>unicipality or Ministry of Education, even though central government has passed such a law.</w:t>
      </w:r>
    </w:p>
    <w:p w:rsidR="0033249D" w:rsidRPr="0034148C" w:rsidRDefault="006804D8" w:rsidP="006804D8">
      <w:r w:rsidRPr="0034148C">
        <w:t>Moreover, l</w:t>
      </w:r>
      <w:r w:rsidR="0033249D" w:rsidRPr="0034148C">
        <w:t xml:space="preserve">ocal governments, who are responsible to deliver services and support to new settlements, lack mechanisms and structures to provide information about the needs and demands of IDPs. IDP settlements </w:t>
      </w:r>
      <w:r w:rsidRPr="0034148C">
        <w:t xml:space="preserve">also </w:t>
      </w:r>
      <w:r w:rsidR="0033249D" w:rsidRPr="0034148C">
        <w:t xml:space="preserve">lack information about local and central Government development plans. </w:t>
      </w:r>
      <w:r w:rsidRPr="0034148C">
        <w:t xml:space="preserve">The lack of information provided to IDPs in new settlements and the villages that surround them serve to sustain feelings of insecurity and isolation. </w:t>
      </w:r>
      <w:r w:rsidR="0033249D" w:rsidRPr="0034148C">
        <w:t>Furthermore, IDP settlements lack civil society organizations to represent them.  These gaps in process and structure create uncertainty and mistrust between IDP populations and local authorities.</w:t>
      </w:r>
    </w:p>
    <w:p w:rsidR="00107D22" w:rsidRPr="0034148C" w:rsidRDefault="00107D22" w:rsidP="006804D8">
      <w:r w:rsidRPr="0034148C">
        <w:t xml:space="preserve">In order to address the problems and integration issues faced by victims of the August ‘08 war, CARE Norway and CARE-Caucasus designed a project targeting 10,000 IDPs displaced from South Ossetia and 10,000 inhabitants of communities adjacent to new IDP settlements in the Shida Kartli and Kvemo Kartli regions of Georgia. </w:t>
      </w:r>
    </w:p>
    <w:p w:rsidR="00107D22" w:rsidRPr="0034148C" w:rsidRDefault="007B5BE9" w:rsidP="00107D22">
      <w:r w:rsidRPr="0034148C">
        <w:t xml:space="preserve">The goal of the Stabilization and Integration of IDPs into Mainstream Georgian Society (SIIMS) project was to help IDPs and local impacted communities integrate to their new environment, using socio-economic opportunities to reduce poverty and conflict, which </w:t>
      </w:r>
      <w:proofErr w:type="gramStart"/>
      <w:r w:rsidRPr="0034148C">
        <w:t>are aligned</w:t>
      </w:r>
      <w:proofErr w:type="gramEnd"/>
      <w:r w:rsidRPr="0034148C">
        <w:t xml:space="preserve"> with local government services and structures. </w:t>
      </w:r>
      <w:r w:rsidR="00107D22" w:rsidRPr="0034148C">
        <w:t xml:space="preserve">The project aimed to create socio-economic ties between </w:t>
      </w:r>
      <w:r w:rsidR="00107D22" w:rsidRPr="0034148C">
        <w:lastRenderedPageBreak/>
        <w:t xml:space="preserve">IDPs and local communities through a series of activities grouped in five thematic areas of intervention: 1) income generation and economic development, 2) community development, 3) civil society strengthening, 4) capacity building of children and adolescents, and 5) information sharing and cooperation with the local government. </w:t>
      </w:r>
    </w:p>
    <w:p w:rsidR="007B5BE9" w:rsidRPr="0034148C" w:rsidRDefault="007E0E95" w:rsidP="007B5BE9">
      <w:r w:rsidRPr="0034148C">
        <w:rPr>
          <w:rFonts w:cs="Arial"/>
          <w:bCs/>
        </w:rPr>
        <w:t xml:space="preserve">This three-year initiative started in July 2009, with </w:t>
      </w:r>
      <w:r w:rsidR="007B5BE9" w:rsidRPr="000B3B30">
        <w:t>the</w:t>
      </w:r>
      <w:r w:rsidR="00840287" w:rsidRPr="000B3B30">
        <w:t xml:space="preserve"> first phase of the</w:t>
      </w:r>
      <w:r w:rsidR="007B5BE9" w:rsidRPr="000B3B30">
        <w:t xml:space="preserve"> </w:t>
      </w:r>
      <w:r w:rsidR="006878F8" w:rsidRPr="000B3B30">
        <w:t xml:space="preserve">project </w:t>
      </w:r>
      <w:r w:rsidR="007B5BE9" w:rsidRPr="000B3B30">
        <w:t>period</w:t>
      </w:r>
      <w:r w:rsidR="00840287" w:rsidRPr="000B3B30">
        <w:t xml:space="preserve"> ending in August </w:t>
      </w:r>
      <w:r w:rsidRPr="000B3B30">
        <w:t>2012</w:t>
      </w:r>
      <w:r w:rsidR="007B5BE9" w:rsidRPr="000B3B30">
        <w:t xml:space="preserve">. With this in </w:t>
      </w:r>
      <w:r w:rsidR="00155314" w:rsidRPr="000B3B30">
        <w:t>mind,</w:t>
      </w:r>
      <w:r w:rsidR="007B5BE9" w:rsidRPr="000B3B30">
        <w:t xml:space="preserve"> CARE-Caucasus </w:t>
      </w:r>
      <w:r w:rsidR="00714888" w:rsidRPr="000B3B30">
        <w:t>i</w:t>
      </w:r>
      <w:r w:rsidR="00714888" w:rsidRPr="0034148C">
        <w:t xml:space="preserve">nitiated several evaluation studies to </w:t>
      </w:r>
      <w:r w:rsidR="007B5BE9" w:rsidRPr="0034148C">
        <w:t xml:space="preserve">assess the impact achieved through </w:t>
      </w:r>
      <w:r w:rsidR="00155314" w:rsidRPr="0034148C">
        <w:t>project-funded</w:t>
      </w:r>
      <w:r w:rsidR="007B5BE9" w:rsidRPr="0034148C">
        <w:t xml:space="preserve"> initiatives.</w:t>
      </w:r>
      <w:r w:rsidR="00714888" w:rsidRPr="0034148C">
        <w:t xml:space="preserve"> The objective</w:t>
      </w:r>
      <w:r w:rsidR="00C20C88">
        <w:t xml:space="preserve"> of the final evaluation study </w:t>
      </w:r>
      <w:r w:rsidR="00C20C88" w:rsidRPr="0034148C">
        <w:t>is</w:t>
      </w:r>
      <w:r w:rsidR="00714888" w:rsidRPr="0034148C">
        <w:t xml:space="preserve"> </w:t>
      </w:r>
      <w:proofErr w:type="gramStart"/>
      <w:r w:rsidR="007B5BE9" w:rsidRPr="0034148C">
        <w:t>to specifically assess</w:t>
      </w:r>
      <w:proofErr w:type="gramEnd"/>
      <w:r w:rsidR="007B5BE9" w:rsidRPr="0034148C">
        <w:t xml:space="preserve"> change in beneficiary lives as it relates to the project activities</w:t>
      </w:r>
      <w:r w:rsidR="00714888" w:rsidRPr="0034148C">
        <w:t>, and to a</w:t>
      </w:r>
      <w:r w:rsidR="007B5BE9" w:rsidRPr="0034148C">
        <w:t>ssess achievements in and lessons learned from community development and economic development as they relate to the goals</w:t>
      </w:r>
      <w:r w:rsidR="00714888" w:rsidRPr="0034148C">
        <w:t xml:space="preserve"> and objectives of the project. This final report presents the results of these evaluation studies.</w:t>
      </w:r>
    </w:p>
    <w:p w:rsidR="0046020E" w:rsidRPr="0034148C" w:rsidRDefault="00930746" w:rsidP="00555BE4">
      <w:pPr>
        <w:pStyle w:val="Heading1"/>
      </w:pPr>
      <w:bookmarkStart w:id="35" w:name="_Toc338325586"/>
      <w:bookmarkStart w:id="36" w:name="_Toc338572109"/>
      <w:bookmarkStart w:id="37" w:name="_Toc338717117"/>
      <w:bookmarkStart w:id="38" w:name="_Toc338750148"/>
      <w:bookmarkStart w:id="39" w:name="_Toc339368741"/>
      <w:r w:rsidRPr="0034148C">
        <w:t>2</w:t>
      </w:r>
      <w:r w:rsidR="003C170B" w:rsidRPr="0034148C">
        <w:t xml:space="preserve">. </w:t>
      </w:r>
      <w:r w:rsidR="00BA5DC5" w:rsidRPr="0034148C">
        <w:t>M</w:t>
      </w:r>
      <w:r w:rsidR="0046020E" w:rsidRPr="0034148C">
        <w:t>ethods</w:t>
      </w:r>
      <w:bookmarkEnd w:id="35"/>
      <w:bookmarkEnd w:id="36"/>
      <w:bookmarkEnd w:id="37"/>
      <w:bookmarkEnd w:id="38"/>
      <w:bookmarkEnd w:id="39"/>
    </w:p>
    <w:p w:rsidR="002A58D8" w:rsidRPr="0034148C" w:rsidRDefault="002A58D8" w:rsidP="00EE5AFA">
      <w:r w:rsidRPr="0034148C">
        <w:t>The evaluation used a mixed methods approach to assess the achievements, effectiveness, cost effectiveness and sustainability of the various components of the SIIMS project. These methods included:</w:t>
      </w:r>
    </w:p>
    <w:p w:rsidR="002A58D8" w:rsidRPr="0092075F" w:rsidRDefault="007D32FD" w:rsidP="00BA2142">
      <w:pPr>
        <w:pStyle w:val="bulletedtext"/>
      </w:pPr>
      <w:r w:rsidRPr="0034148C">
        <w:t xml:space="preserve">Document review of previous studies conducted for the program, including the project proposal, the revised project logical framework, the baseline study (GeoWel Research &amp; Caucasus Research Resource Center, 2009), the one-year evaluation study </w:t>
      </w:r>
      <w:r w:rsidRPr="0092075F">
        <w:t>(</w:t>
      </w:r>
      <w:r w:rsidR="00C20C88" w:rsidRPr="0092075F">
        <w:t>Jafarli, 20</w:t>
      </w:r>
      <w:r w:rsidRPr="0092075F">
        <w:t xml:space="preserve">10), and a concept paper outlining CARE’s vision for long-term sustainability (Just, 2011). </w:t>
      </w:r>
    </w:p>
    <w:p w:rsidR="00C37AF4" w:rsidRPr="0034148C" w:rsidRDefault="00C37AF4" w:rsidP="00BA2142">
      <w:pPr>
        <w:pStyle w:val="bulletedtext"/>
      </w:pPr>
      <w:proofErr w:type="gramStart"/>
      <w:r w:rsidRPr="0034148C">
        <w:t>Quantitative analysis of m</w:t>
      </w:r>
      <w:r w:rsidR="00742BC0" w:rsidRPr="0034148C">
        <w:t>onitoring data collected by each of the components.</w:t>
      </w:r>
      <w:proofErr w:type="gramEnd"/>
      <w:r w:rsidR="00742BC0" w:rsidRPr="0034148C">
        <w:t xml:space="preserve"> </w:t>
      </w:r>
      <w:r w:rsidRPr="0034148C">
        <w:t xml:space="preserve">Data </w:t>
      </w:r>
      <w:proofErr w:type="gramStart"/>
      <w:r w:rsidRPr="0034148C">
        <w:t>was analyzed</w:t>
      </w:r>
      <w:proofErr w:type="gramEnd"/>
      <w:r w:rsidRPr="0034148C">
        <w:t xml:space="preserve"> to produce indicators of project achievements, impact, efficiency, relative costs, and other results as appropriate. These </w:t>
      </w:r>
      <w:proofErr w:type="gramStart"/>
      <w:r w:rsidRPr="0034148C">
        <w:t>are presented</w:t>
      </w:r>
      <w:proofErr w:type="gramEnd"/>
      <w:r w:rsidRPr="0034148C">
        <w:t xml:space="preserve"> in the form of tables and graphs throughout the report.</w:t>
      </w:r>
    </w:p>
    <w:p w:rsidR="00112DA7" w:rsidRPr="0034148C" w:rsidRDefault="00407FB0" w:rsidP="006B50D4">
      <w:pPr>
        <w:pStyle w:val="bulletedtext"/>
      </w:pPr>
      <w:r w:rsidRPr="0034148C">
        <w:t>Quantitative assessment t</w:t>
      </w:r>
      <w:r w:rsidR="00300077" w:rsidRPr="0034148C">
        <w:t xml:space="preserve">ools </w:t>
      </w:r>
      <w:proofErr w:type="gramStart"/>
      <w:r w:rsidR="00300077" w:rsidRPr="0034148C">
        <w:t xml:space="preserve">were </w:t>
      </w:r>
      <w:r w:rsidRPr="0034148C">
        <w:t>used</w:t>
      </w:r>
      <w:proofErr w:type="gramEnd"/>
      <w:r w:rsidRPr="0034148C">
        <w:t xml:space="preserve"> </w:t>
      </w:r>
      <w:r w:rsidR="00300077" w:rsidRPr="0034148C">
        <w:t xml:space="preserve">for the Support to Civil Society evaluation to </w:t>
      </w:r>
      <w:r w:rsidRPr="0034148C">
        <w:t xml:space="preserve">measure two aspects of program effectiveness. A tool </w:t>
      </w:r>
      <w:proofErr w:type="gramStart"/>
      <w:r w:rsidRPr="0034148C">
        <w:t>was developed</w:t>
      </w:r>
      <w:proofErr w:type="gramEnd"/>
      <w:r w:rsidRPr="0034148C">
        <w:t xml:space="preserve"> to create a quantitative </w:t>
      </w:r>
      <w:r w:rsidR="00300077" w:rsidRPr="0034148C">
        <w:t xml:space="preserve">measure </w:t>
      </w:r>
      <w:r w:rsidRPr="0034148C">
        <w:t xml:space="preserve">of the impact of the </w:t>
      </w:r>
      <w:r w:rsidR="00300077" w:rsidRPr="0034148C">
        <w:t>advocacy</w:t>
      </w:r>
      <w:r w:rsidRPr="0034148C">
        <w:t xml:space="preserve"> work done by the project CSOs</w:t>
      </w:r>
      <w:r w:rsidR="00300077" w:rsidRPr="0034148C">
        <w:t xml:space="preserve">. </w:t>
      </w:r>
      <w:r w:rsidR="006B50D4" w:rsidRPr="0034148C">
        <w:t xml:space="preserve">USAID’s </w:t>
      </w:r>
      <w:r w:rsidR="00C20C88" w:rsidRPr="00786058">
        <w:rPr>
          <w:i/>
          <w:iCs/>
        </w:rPr>
        <w:t>NGO</w:t>
      </w:r>
      <w:r w:rsidR="006B50D4" w:rsidRPr="00786058">
        <w:rPr>
          <w:i/>
          <w:iCs/>
        </w:rPr>
        <w:t xml:space="preserve"> Sustainability Index for Central and Eastern Europe and Eurasia</w:t>
      </w:r>
      <w:r w:rsidR="006B50D4" w:rsidRPr="0034148C">
        <w:t xml:space="preserve"> </w:t>
      </w:r>
      <w:proofErr w:type="gramStart"/>
      <w:r w:rsidR="006B50D4" w:rsidRPr="0034148C">
        <w:t>was used</w:t>
      </w:r>
      <w:proofErr w:type="gramEnd"/>
      <w:r w:rsidR="006B50D4" w:rsidRPr="0034148C">
        <w:t xml:space="preserve"> to measure CSO capacity and </w:t>
      </w:r>
      <w:r w:rsidR="007D32FD" w:rsidRPr="0034148C">
        <w:t>sustainability</w:t>
      </w:r>
      <w:r w:rsidR="004D4184">
        <w:t xml:space="preserve"> (USAID, 2011)</w:t>
      </w:r>
      <w:r w:rsidR="006B50D4" w:rsidRPr="0034148C">
        <w:t>.</w:t>
      </w:r>
    </w:p>
    <w:p w:rsidR="00742BC0" w:rsidRPr="0034148C" w:rsidRDefault="00742BC0" w:rsidP="00BA2142">
      <w:pPr>
        <w:pStyle w:val="bulletedtext"/>
      </w:pPr>
      <w:r w:rsidRPr="0034148C">
        <w:t xml:space="preserve">Quantitative surveys of project participants </w:t>
      </w:r>
      <w:proofErr w:type="gramStart"/>
      <w:r w:rsidR="00C37AF4" w:rsidRPr="0034148C">
        <w:t xml:space="preserve">were </w:t>
      </w:r>
      <w:r w:rsidRPr="0034148C">
        <w:t>conducted</w:t>
      </w:r>
      <w:proofErr w:type="gramEnd"/>
      <w:r w:rsidRPr="0034148C">
        <w:t xml:space="preserve"> for </w:t>
      </w:r>
      <w:r w:rsidR="006B50D4" w:rsidRPr="0034148C">
        <w:t xml:space="preserve">two </w:t>
      </w:r>
      <w:r w:rsidRPr="0034148C">
        <w:t xml:space="preserve">of the project components. </w:t>
      </w:r>
      <w:r w:rsidR="00C37AF4" w:rsidRPr="0034148C">
        <w:t xml:space="preserve">Results </w:t>
      </w:r>
      <w:proofErr w:type="gramStart"/>
      <w:r w:rsidR="00C37AF4" w:rsidRPr="0034148C">
        <w:t>are presented</w:t>
      </w:r>
      <w:proofErr w:type="gramEnd"/>
      <w:r w:rsidR="00C37AF4" w:rsidRPr="0034148C">
        <w:t xml:space="preserve"> in the form of simple frequencies and cross-tabulations to </w:t>
      </w:r>
      <w:r w:rsidR="00FB6D4F" w:rsidRPr="0034148C">
        <w:t xml:space="preserve">show aspects of the project’s impact, participant satisfaction with the project, participant attitudes, </w:t>
      </w:r>
      <w:r w:rsidR="00C37AF4" w:rsidRPr="0034148C">
        <w:t>and other</w:t>
      </w:r>
      <w:r w:rsidR="00FB6D4F" w:rsidRPr="0034148C">
        <w:t xml:space="preserve"> result</w:t>
      </w:r>
      <w:r w:rsidR="00C37AF4" w:rsidRPr="0034148C">
        <w:t xml:space="preserve">s </w:t>
      </w:r>
      <w:r w:rsidR="00567E9C" w:rsidRPr="0034148C">
        <w:t>as appropriate</w:t>
      </w:r>
      <w:r w:rsidR="00C37AF4" w:rsidRPr="0034148C">
        <w:t xml:space="preserve">. These </w:t>
      </w:r>
      <w:proofErr w:type="gramStart"/>
      <w:r w:rsidR="00C37AF4" w:rsidRPr="0034148C">
        <w:t>are</w:t>
      </w:r>
      <w:r w:rsidR="00567E9C" w:rsidRPr="0034148C">
        <w:t xml:space="preserve"> presented</w:t>
      </w:r>
      <w:proofErr w:type="gramEnd"/>
      <w:r w:rsidR="00567E9C" w:rsidRPr="0034148C">
        <w:t xml:space="preserve"> in the form of tables and graphs throughout the report.</w:t>
      </w:r>
    </w:p>
    <w:p w:rsidR="00567E9C" w:rsidRPr="0034148C" w:rsidRDefault="00567E9C" w:rsidP="00BA2142">
      <w:pPr>
        <w:pStyle w:val="bulletedtext"/>
      </w:pPr>
      <w:r w:rsidRPr="0034148C">
        <w:t xml:space="preserve">Qualitative data </w:t>
      </w:r>
      <w:proofErr w:type="gramStart"/>
      <w:r w:rsidRPr="0034148C">
        <w:t>was collected</w:t>
      </w:r>
      <w:proofErr w:type="gramEnd"/>
      <w:r w:rsidRPr="0034148C">
        <w:t xml:space="preserve"> through focus group discussions (FGDs), structured interviews of </w:t>
      </w:r>
      <w:r w:rsidR="00E02922" w:rsidRPr="0034148C">
        <w:t>key</w:t>
      </w:r>
      <w:r w:rsidR="00E02922">
        <w:t xml:space="preserve"> </w:t>
      </w:r>
      <w:r w:rsidR="00E02922" w:rsidRPr="0034148C">
        <w:t>informants</w:t>
      </w:r>
      <w:r w:rsidRPr="0034148C">
        <w:t xml:space="preserve"> and project participants, and site visits of project activities. This data </w:t>
      </w:r>
      <w:proofErr w:type="gramStart"/>
      <w:r w:rsidRPr="0034148C">
        <w:t>was a</w:t>
      </w:r>
      <w:r w:rsidR="00930746" w:rsidRPr="0034148C">
        <w:t>nalyzed</w:t>
      </w:r>
      <w:proofErr w:type="gramEnd"/>
      <w:r w:rsidR="00930746" w:rsidRPr="0034148C">
        <w:t xml:space="preserve"> through content analysis of field notes and FGD notes prepared by the translator.</w:t>
      </w:r>
      <w:r w:rsidRPr="0034148C">
        <w:t xml:space="preserve"> Quotes from FGD and </w:t>
      </w:r>
      <w:r w:rsidR="00E02922" w:rsidRPr="0034148C">
        <w:t>interview</w:t>
      </w:r>
      <w:r w:rsidR="00E02922">
        <w:t xml:space="preserve"> respondents</w:t>
      </w:r>
      <w:r w:rsidRPr="0034148C">
        <w:t xml:space="preserve"> are included </w:t>
      </w:r>
      <w:r w:rsidR="00930746" w:rsidRPr="0034148C">
        <w:t xml:space="preserve">in the report </w:t>
      </w:r>
      <w:r w:rsidRPr="0034148C">
        <w:t>to illustrate important points.</w:t>
      </w:r>
    </w:p>
    <w:p w:rsidR="000358DD" w:rsidRPr="0034148C" w:rsidRDefault="000358DD" w:rsidP="00EE5AFA">
      <w:r w:rsidRPr="0034148C">
        <w:lastRenderedPageBreak/>
        <w:t xml:space="preserve">Further details of methods used in the three separate evaluation efforts </w:t>
      </w:r>
      <w:proofErr w:type="gramStart"/>
      <w:r w:rsidRPr="0034148C">
        <w:t>are given</w:t>
      </w:r>
      <w:proofErr w:type="gramEnd"/>
      <w:r w:rsidRPr="0034148C">
        <w:t xml:space="preserve"> below.</w:t>
      </w:r>
    </w:p>
    <w:p w:rsidR="000358DD" w:rsidRPr="0034148C" w:rsidRDefault="000358DD" w:rsidP="000358DD">
      <w:pPr>
        <w:pStyle w:val="Heading2"/>
      </w:pPr>
      <w:bookmarkStart w:id="40" w:name="_Toc338572110"/>
      <w:bookmarkStart w:id="41" w:name="_Toc338717118"/>
      <w:bookmarkStart w:id="42" w:name="_Toc338750149"/>
      <w:bookmarkStart w:id="43" w:name="_Toc339368742"/>
      <w:r w:rsidRPr="0034148C">
        <w:t xml:space="preserve">2.1 </w:t>
      </w:r>
      <w:r w:rsidR="001A045D" w:rsidRPr="0034148C">
        <w:t>Methods used for e</w:t>
      </w:r>
      <w:r w:rsidRPr="0034148C">
        <w:t>valuation of the Support to Civil Society program</w:t>
      </w:r>
      <w:bookmarkEnd w:id="40"/>
      <w:bookmarkEnd w:id="41"/>
      <w:bookmarkEnd w:id="42"/>
      <w:bookmarkEnd w:id="43"/>
    </w:p>
    <w:p w:rsidR="00112DA7" w:rsidRPr="0034148C" w:rsidRDefault="001A045D" w:rsidP="00BA2142">
      <w:r w:rsidRPr="0034148C">
        <w:t xml:space="preserve">Different methodologies </w:t>
      </w:r>
      <w:proofErr w:type="gramStart"/>
      <w:r w:rsidRPr="0034148C">
        <w:t>were developed</w:t>
      </w:r>
      <w:proofErr w:type="gramEnd"/>
      <w:r w:rsidRPr="0034148C">
        <w:t xml:space="preserve"> for measuring the three indicators stipulated in the logical framework</w:t>
      </w:r>
      <w:r w:rsidR="00BA2142" w:rsidRPr="0034148C">
        <w:t xml:space="preserve"> for the Support to Civil Society program</w:t>
      </w:r>
      <w:r w:rsidRPr="0034148C">
        <w:t>.</w:t>
      </w:r>
      <w:r w:rsidR="00BA2142" w:rsidRPr="0034148C">
        <w:t xml:space="preserve"> </w:t>
      </w:r>
    </w:p>
    <w:p w:rsidR="00112DA7" w:rsidRPr="0034148C" w:rsidRDefault="00112DA7" w:rsidP="00112DA7">
      <w:pPr>
        <w:pStyle w:val="Heading3"/>
      </w:pPr>
      <w:bookmarkStart w:id="44" w:name="_Toc338717119"/>
      <w:bookmarkStart w:id="45" w:name="_Toc338750150"/>
      <w:bookmarkStart w:id="46" w:name="_Toc339368743"/>
      <w:r w:rsidRPr="0034148C">
        <w:t>2.1.1 Measurement of IDP integration</w:t>
      </w:r>
      <w:bookmarkEnd w:id="44"/>
      <w:bookmarkEnd w:id="45"/>
      <w:bookmarkEnd w:id="46"/>
    </w:p>
    <w:p w:rsidR="00BA2142" w:rsidRPr="0034148C" w:rsidRDefault="001A045D" w:rsidP="00BA2142">
      <w:r w:rsidRPr="0034148C">
        <w:t>In order to measure the extent to which the CSO projects funded by SIIMS enabled integration of IDPs and communities</w:t>
      </w:r>
      <w:r w:rsidR="00BA2142" w:rsidRPr="0034148C">
        <w:t>,</w:t>
      </w:r>
      <w:r w:rsidRPr="0034148C">
        <w:t xml:space="preserve"> a </w:t>
      </w:r>
      <w:r w:rsidR="00E02922" w:rsidRPr="0034148C">
        <w:t>random</w:t>
      </w:r>
      <w:r w:rsidR="00E02922">
        <w:t xml:space="preserve"> </w:t>
      </w:r>
      <w:r w:rsidR="00E02922" w:rsidRPr="0034148C">
        <w:t>sample</w:t>
      </w:r>
      <w:r w:rsidRPr="0034148C">
        <w:t xml:space="preserve"> of four out of six projects </w:t>
      </w:r>
      <w:proofErr w:type="gramStart"/>
      <w:r w:rsidRPr="0034148C">
        <w:t>was drawn</w:t>
      </w:r>
      <w:proofErr w:type="gramEnd"/>
      <w:r w:rsidRPr="0034148C">
        <w:t xml:space="preserve"> from the first round of grants, along with a random sample of five out of nine projects drawn from the second round of grants. In all nine projects were selected for assessment, six from Shida Kartli and three from Kvemo Kartli. During SIIMS, a total of ten CSO projects </w:t>
      </w:r>
      <w:proofErr w:type="gramStart"/>
      <w:r w:rsidR="00E02922" w:rsidRPr="0034148C">
        <w:t>were</w:t>
      </w:r>
      <w:r w:rsidR="00E02922">
        <w:t xml:space="preserve"> </w:t>
      </w:r>
      <w:r w:rsidR="00E02922" w:rsidRPr="0034148C">
        <w:t>implemented</w:t>
      </w:r>
      <w:proofErr w:type="gramEnd"/>
      <w:r w:rsidRPr="0034148C">
        <w:t xml:space="preserve"> in Shida Kartli and five were implemented in Kvemo Kartli. </w:t>
      </w:r>
    </w:p>
    <w:p w:rsidR="001A045D" w:rsidRPr="0034148C" w:rsidRDefault="001A045D" w:rsidP="00BA2142">
      <w:r w:rsidRPr="0034148C">
        <w:t xml:space="preserve">Having generated this random sample, the projects </w:t>
      </w:r>
      <w:proofErr w:type="gramStart"/>
      <w:r w:rsidRPr="0034148C">
        <w:t>were assessed</w:t>
      </w:r>
      <w:proofErr w:type="gramEnd"/>
      <w:r w:rsidRPr="0034148C">
        <w:t xml:space="preserve"> by reviewing the project documentation (proposals and narrative reports) and through focus group discussions (FGDs) with beneficiaries. Several of the projects </w:t>
      </w:r>
      <w:proofErr w:type="gramStart"/>
      <w:r w:rsidRPr="0034148C">
        <w:t>were implemented</w:t>
      </w:r>
      <w:proofErr w:type="gramEnd"/>
      <w:r w:rsidRPr="0034148C">
        <w:t xml:space="preserve"> in multiple communities. The communities </w:t>
      </w:r>
      <w:r w:rsidR="00E02922" w:rsidRPr="0034148C">
        <w:t xml:space="preserve">selected </w:t>
      </w:r>
      <w:r w:rsidR="00E02922">
        <w:t>for</w:t>
      </w:r>
      <w:r w:rsidRPr="0034148C">
        <w:t xml:space="preserve"> focus group discussions </w:t>
      </w:r>
      <w:proofErr w:type="gramStart"/>
      <w:r w:rsidRPr="0034148C">
        <w:t>were chosen</w:t>
      </w:r>
      <w:proofErr w:type="gramEnd"/>
      <w:r w:rsidRPr="0034148C">
        <w:t xml:space="preserve"> by the consultant who carried out this assessment.</w:t>
      </w:r>
      <w:r w:rsidR="00BA2142" w:rsidRPr="0034148C">
        <w:t xml:space="preserve"> For logistical reasons, two projects were ultimately not included in the </w:t>
      </w:r>
      <w:r w:rsidR="00155314" w:rsidRPr="0034148C">
        <w:t>analysis,</w:t>
      </w:r>
      <w:r w:rsidR="00BA2142" w:rsidRPr="0034148C">
        <w:t xml:space="preserve"> as it was not possible to collect all of the needed data.</w:t>
      </w:r>
    </w:p>
    <w:p w:rsidR="00BA2142" w:rsidRPr="0034148C" w:rsidRDefault="00BA2142" w:rsidP="00BA2142">
      <w:r w:rsidRPr="0034148C">
        <w:t xml:space="preserve">Because the second round of grants focused on advocacy, a tool </w:t>
      </w:r>
      <w:proofErr w:type="gramStart"/>
      <w:r w:rsidRPr="0034148C">
        <w:t>was developed</w:t>
      </w:r>
      <w:proofErr w:type="gramEnd"/>
      <w:r w:rsidRPr="0034148C">
        <w:t xml:space="preserve"> to assess the impact of the advocacy work, focusing on:</w:t>
      </w:r>
    </w:p>
    <w:p w:rsidR="00BA2142" w:rsidRPr="0034148C" w:rsidRDefault="00BA2142" w:rsidP="00BA2142">
      <w:pPr>
        <w:pStyle w:val="bulletedtext"/>
      </w:pPr>
      <w:r w:rsidRPr="0034148C">
        <w:t>The quality of the advocacy strategy developed by the CSOs;</w:t>
      </w:r>
    </w:p>
    <w:p w:rsidR="00BA2142" w:rsidRPr="0034148C" w:rsidRDefault="00BA2142" w:rsidP="00BA2142">
      <w:pPr>
        <w:pStyle w:val="bulletedtext"/>
      </w:pPr>
      <w:r w:rsidRPr="0034148C">
        <w:t>The extent to which CSOs implemented their strategy in a way that encompasses good practices and promotes sustainability of their advocacy work</w:t>
      </w:r>
      <w:r w:rsidR="00112DA7" w:rsidRPr="0034148C">
        <w:t>;</w:t>
      </w:r>
    </w:p>
    <w:p w:rsidR="00BA2142" w:rsidRPr="0034148C" w:rsidRDefault="00BA2142" w:rsidP="00BA2142">
      <w:pPr>
        <w:pStyle w:val="bulletedtext"/>
      </w:pPr>
      <w:r w:rsidRPr="0034148C">
        <w:t>The extent to which the advocacy initiative led to any policy changes</w:t>
      </w:r>
      <w:r w:rsidR="00112DA7" w:rsidRPr="0034148C">
        <w:t>; and</w:t>
      </w:r>
    </w:p>
    <w:p w:rsidR="00BA2142" w:rsidRPr="0034148C" w:rsidRDefault="00BA2142" w:rsidP="00BA2142">
      <w:pPr>
        <w:pStyle w:val="bulletedtext"/>
      </w:pPr>
      <w:proofErr w:type="gramStart"/>
      <w:r w:rsidRPr="0034148C">
        <w:t>The extent to which CSOs represented IDPs’ interests in the advocacy initiative.</w:t>
      </w:r>
      <w:proofErr w:type="gramEnd"/>
    </w:p>
    <w:p w:rsidR="00BA2142" w:rsidRPr="0034148C" w:rsidRDefault="006B50D4" w:rsidP="00BA2142">
      <w:r w:rsidRPr="0034148C">
        <w:t xml:space="preserve">The tool used quantitative content analysis of project documents and reports to create scores for these aspects of the project. </w:t>
      </w:r>
      <w:r w:rsidR="00BA2142" w:rsidRPr="0034148C">
        <w:t xml:space="preserve">The tool and its scoring criteria </w:t>
      </w:r>
      <w:proofErr w:type="gramStart"/>
      <w:r w:rsidR="00BA2142" w:rsidRPr="0034148C">
        <w:t>can be found</w:t>
      </w:r>
      <w:proofErr w:type="gramEnd"/>
      <w:r w:rsidR="00BA2142" w:rsidRPr="0034148C">
        <w:t xml:space="preserve"> in</w:t>
      </w:r>
      <w:r w:rsidR="00112DA7" w:rsidRPr="0034148C">
        <w:t xml:space="preserve"> the full CSO ev</w:t>
      </w:r>
      <w:r w:rsidR="00C20C88">
        <w:t xml:space="preserve">aluation report </w:t>
      </w:r>
      <w:r w:rsidR="00C20C88" w:rsidRPr="004D4184">
        <w:t>(Just, 2012</w:t>
      </w:r>
      <w:r w:rsidR="00112DA7" w:rsidRPr="004D4184">
        <w:t>)</w:t>
      </w:r>
      <w:r w:rsidR="00BA2142" w:rsidRPr="004D4184">
        <w:t>.</w:t>
      </w:r>
    </w:p>
    <w:p w:rsidR="00BA2142" w:rsidRPr="0034148C" w:rsidRDefault="00343532" w:rsidP="00343532">
      <w:pPr>
        <w:pStyle w:val="Heading3"/>
      </w:pPr>
      <w:bookmarkStart w:id="47" w:name="_Toc338717120"/>
      <w:bookmarkStart w:id="48" w:name="_Toc338750151"/>
      <w:bookmarkStart w:id="49" w:name="_Toc339368744"/>
      <w:r w:rsidRPr="0034148C">
        <w:t>2.</w:t>
      </w:r>
      <w:r w:rsidR="00300077" w:rsidRPr="0034148C">
        <w:t xml:space="preserve">1.2 </w:t>
      </w:r>
      <w:r w:rsidR="00BA2142" w:rsidRPr="0034148C">
        <w:t>Measur</w:t>
      </w:r>
      <w:r w:rsidR="00BA5DC5" w:rsidRPr="0034148C">
        <w:t>ement of</w:t>
      </w:r>
      <w:r w:rsidR="00BA2142" w:rsidRPr="0034148C">
        <w:t xml:space="preserve"> capacity building</w:t>
      </w:r>
      <w:bookmarkEnd w:id="47"/>
      <w:bookmarkEnd w:id="48"/>
      <w:bookmarkEnd w:id="49"/>
    </w:p>
    <w:p w:rsidR="00BA2142" w:rsidRPr="0034148C" w:rsidRDefault="00BA2142" w:rsidP="00BA2142">
      <w:r w:rsidRPr="0034148C">
        <w:t xml:space="preserve">Measuring the extent to which the capacity of CSOs to deliver social services </w:t>
      </w:r>
      <w:proofErr w:type="gramStart"/>
      <w:r w:rsidRPr="0034148C">
        <w:t>has been enhanced</w:t>
      </w:r>
      <w:proofErr w:type="gramEnd"/>
      <w:r w:rsidRPr="0034148C">
        <w:t xml:space="preserve"> through SIIMS was complicated by the fact that there were no baseline measures of CSO capacity with which to compare. The assessment developed an evaluation form to gauge how useful the trainings provided by SIIMS had been in enhancing the knowledge and skills of training participants and to what extent the content of the training is being applied by participants, with what impact on the </w:t>
      </w:r>
      <w:r w:rsidR="001A4CDC" w:rsidRPr="0034148C">
        <w:t>organization</w:t>
      </w:r>
      <w:r w:rsidRPr="0034148C">
        <w:t xml:space="preserve"> (see </w:t>
      </w:r>
      <w:r w:rsidR="00300077" w:rsidRPr="0034148C">
        <w:t xml:space="preserve">full report </w:t>
      </w:r>
      <w:r w:rsidR="00246068">
        <w:t xml:space="preserve">(Just, 2012) </w:t>
      </w:r>
      <w:r w:rsidRPr="0034148C">
        <w:t xml:space="preserve">for a sample evaluation form). This evaluation form </w:t>
      </w:r>
      <w:proofErr w:type="gramStart"/>
      <w:r w:rsidRPr="0034148C">
        <w:t>was sent</w:t>
      </w:r>
      <w:proofErr w:type="gramEnd"/>
      <w:r w:rsidRPr="0034148C">
        <w:t xml:space="preserve"> to all </w:t>
      </w:r>
      <w:r w:rsidR="001A4CDC" w:rsidRPr="0034148C">
        <w:t>organizations</w:t>
      </w:r>
      <w:r w:rsidRPr="0034148C">
        <w:t xml:space="preserve"> who participated in the trainings. Twenty</w:t>
      </w:r>
      <w:r w:rsidR="00300077" w:rsidRPr="0034148C">
        <w:t>-</w:t>
      </w:r>
      <w:r w:rsidRPr="0034148C">
        <w:t xml:space="preserve">two </w:t>
      </w:r>
      <w:r w:rsidR="00E02922" w:rsidRPr="0034148C">
        <w:t>organizations</w:t>
      </w:r>
      <w:r w:rsidR="00E02922">
        <w:t xml:space="preserve"> </w:t>
      </w:r>
      <w:r w:rsidR="00E02922" w:rsidRPr="0034148C">
        <w:t>returned</w:t>
      </w:r>
      <w:r w:rsidRPr="0034148C">
        <w:t xml:space="preserve"> completed forms. The assessment also gathered </w:t>
      </w:r>
      <w:r w:rsidRPr="0034148C">
        <w:lastRenderedPageBreak/>
        <w:t xml:space="preserve">CSOs’ own reflections on whether working on SIIMS had brought anything substantive to their organizations in terms of capacity building. These reflections </w:t>
      </w:r>
      <w:proofErr w:type="gramStart"/>
      <w:r w:rsidRPr="0034148C">
        <w:t>were gathered</w:t>
      </w:r>
      <w:proofErr w:type="gramEnd"/>
      <w:r w:rsidRPr="0034148C">
        <w:t xml:space="preserve"> during extensive semi-structured interviews with project managers and senior </w:t>
      </w:r>
      <w:r w:rsidR="00155314" w:rsidRPr="0034148C">
        <w:t>managers, which</w:t>
      </w:r>
      <w:r w:rsidRPr="0034148C">
        <w:t xml:space="preserve"> also took the form of a broader institutional capacity assessment.</w:t>
      </w:r>
    </w:p>
    <w:p w:rsidR="00300077" w:rsidRPr="0034148C" w:rsidRDefault="00BA5DC5" w:rsidP="00300077">
      <w:pPr>
        <w:pStyle w:val="Heading3"/>
      </w:pPr>
      <w:bookmarkStart w:id="50" w:name="_Toc338717121"/>
      <w:bookmarkStart w:id="51" w:name="_Toc338750152"/>
      <w:bookmarkStart w:id="52" w:name="_Toc339368745"/>
      <w:r w:rsidRPr="0034148C">
        <w:t>2.1.3 Measurement of</w:t>
      </w:r>
      <w:r w:rsidR="00300077" w:rsidRPr="0034148C">
        <w:t xml:space="preserve"> sustainability</w:t>
      </w:r>
      <w:bookmarkEnd w:id="50"/>
      <w:bookmarkEnd w:id="51"/>
      <w:bookmarkEnd w:id="52"/>
    </w:p>
    <w:p w:rsidR="00BA2142" w:rsidRPr="0034148C" w:rsidRDefault="00BA2142" w:rsidP="00BA2142">
      <w:r w:rsidRPr="0034148C">
        <w:t xml:space="preserve">One of the questions raised during the mid-term evaluation of SIIMS </w:t>
      </w:r>
      <w:proofErr w:type="gramStart"/>
      <w:r w:rsidR="00C20C88" w:rsidRPr="00B670CD">
        <w:t xml:space="preserve">was </w:t>
      </w:r>
      <w:r w:rsidRPr="00B670CD">
        <w:t>related</w:t>
      </w:r>
      <w:proofErr w:type="gramEnd"/>
      <w:r w:rsidRPr="0034148C">
        <w:t xml:space="preserve"> to the sustainability of the CSO work that SIIMS has supported. In order to explore the capacity of CSOs and their sustainability in greater depth, this evaluation developed a capacity assessment tool based on the </w:t>
      </w:r>
      <w:r w:rsidRPr="0034148C">
        <w:rPr>
          <w:i/>
        </w:rPr>
        <w:t xml:space="preserve">Europe and Eurasia NGO Sustainability Index </w:t>
      </w:r>
      <w:r w:rsidRPr="0034148C">
        <w:t>released annually by USAID</w:t>
      </w:r>
      <w:r w:rsidR="001A4CDC" w:rsidRPr="0034148C">
        <w:t xml:space="preserve"> (USAID, 2011)</w:t>
      </w:r>
      <w:r w:rsidRPr="0034148C">
        <w:t>. The Index, which covers Georgia, assesses the following domains: the legal environment for NGOs; the organizational capacity of NGOs; the financial viability of NGOs; the advocacy capacity of NGOs; the quality of service provision by NGOs; the Infrastructure available to NGOs</w:t>
      </w:r>
      <w:proofErr w:type="gramStart"/>
      <w:r w:rsidRPr="0034148C">
        <w:t>;</w:t>
      </w:r>
      <w:proofErr w:type="gramEnd"/>
      <w:r w:rsidRPr="0034148C">
        <w:t xml:space="preserve"> and the public image of NGOs. All these domains, except the legal environment, </w:t>
      </w:r>
      <w:r w:rsidR="00E02922" w:rsidRPr="0034148C">
        <w:t xml:space="preserve">seemed </w:t>
      </w:r>
      <w:r w:rsidR="00E02922">
        <w:t>relevant</w:t>
      </w:r>
      <w:r w:rsidRPr="0034148C">
        <w:t xml:space="preserve"> to the assessment of the capacity of CSOs who received SIIMS funding.</w:t>
      </w:r>
    </w:p>
    <w:p w:rsidR="00BA2142" w:rsidRPr="0034148C" w:rsidRDefault="00BA2142" w:rsidP="00407FB0">
      <w:r w:rsidRPr="0034148C">
        <w:t xml:space="preserve">One part of the tool is a structured interview </w:t>
      </w:r>
      <w:r w:rsidR="00155314" w:rsidRPr="0034148C">
        <w:t>questionnaire, which</w:t>
      </w:r>
      <w:r w:rsidRPr="0034148C">
        <w:t xml:space="preserve"> </w:t>
      </w:r>
      <w:proofErr w:type="gramStart"/>
      <w:r w:rsidRPr="0034148C">
        <w:t>was used</w:t>
      </w:r>
      <w:proofErr w:type="gramEnd"/>
      <w:r w:rsidRPr="0034148C">
        <w:t xml:space="preserve"> in interviews with the senior managers of </w:t>
      </w:r>
      <w:r w:rsidR="00E02922" w:rsidRPr="0034148C">
        <w:t xml:space="preserve">random </w:t>
      </w:r>
      <w:r w:rsidR="00E02922">
        <w:t>sample</w:t>
      </w:r>
      <w:r w:rsidRPr="0034148C">
        <w:t xml:space="preserve"> of CSOs whose projects were chosen to be reviewed in this assessment. The other part of the tool is a scoring </w:t>
      </w:r>
      <w:proofErr w:type="gramStart"/>
      <w:r w:rsidR="00E02922" w:rsidRPr="0034148C">
        <w:t xml:space="preserve">matrix </w:t>
      </w:r>
      <w:r w:rsidR="00E02922">
        <w:t>which</w:t>
      </w:r>
      <w:proofErr w:type="gramEnd"/>
      <w:r w:rsidRPr="0034148C">
        <w:t xml:space="preserve"> yields a score between 1 and 3 in each capacity domain. The tool and its accompanying scoring matrix </w:t>
      </w:r>
      <w:proofErr w:type="gramStart"/>
      <w:r w:rsidRPr="0034148C">
        <w:t>can be found</w:t>
      </w:r>
      <w:proofErr w:type="gramEnd"/>
      <w:r w:rsidRPr="0034148C">
        <w:t xml:space="preserve"> in</w:t>
      </w:r>
      <w:r w:rsidR="00300077" w:rsidRPr="0034148C">
        <w:t xml:space="preserve"> the full CSO evaluation report</w:t>
      </w:r>
      <w:r w:rsidR="00246068">
        <w:t xml:space="preserve"> (Just, 2012)</w:t>
      </w:r>
      <w:r w:rsidRPr="0034148C">
        <w:t>.</w:t>
      </w:r>
    </w:p>
    <w:p w:rsidR="000358DD" w:rsidRPr="0034148C" w:rsidRDefault="000358DD" w:rsidP="000358DD">
      <w:pPr>
        <w:pStyle w:val="Heading2"/>
      </w:pPr>
      <w:bookmarkStart w:id="53" w:name="_Toc338572111"/>
      <w:bookmarkStart w:id="54" w:name="_Toc338717122"/>
      <w:bookmarkStart w:id="55" w:name="_Toc338750153"/>
      <w:bookmarkStart w:id="56" w:name="_Toc339368746"/>
      <w:r w:rsidRPr="0034148C">
        <w:t xml:space="preserve">2.2 </w:t>
      </w:r>
      <w:r w:rsidR="003F652C">
        <w:t>Methods used to e</w:t>
      </w:r>
      <w:r w:rsidRPr="0034148C">
        <w:t>valuat</w:t>
      </w:r>
      <w:r w:rsidR="003F652C">
        <w:t>e</w:t>
      </w:r>
      <w:r w:rsidRPr="0034148C">
        <w:t xml:space="preserve"> the Capacity Building of Children and Adolescents program</w:t>
      </w:r>
      <w:bookmarkEnd w:id="53"/>
      <w:bookmarkEnd w:id="54"/>
      <w:bookmarkEnd w:id="55"/>
      <w:bookmarkEnd w:id="56"/>
    </w:p>
    <w:p w:rsidR="00C70CF6" w:rsidRPr="0034148C" w:rsidRDefault="00C70CF6" w:rsidP="00341E7E">
      <w:r w:rsidRPr="0034148C">
        <w:t>The SIIMS logical framework includes a number of quantitative indicators of the s</w:t>
      </w:r>
      <w:r w:rsidR="006C65A4" w:rsidRPr="0034148C">
        <w:t>uccessful implementation of Capacity Building of Children and Adolescents program</w:t>
      </w:r>
      <w:r w:rsidRPr="0034148C">
        <w:t xml:space="preserve"> component. To evaluate the progress of </w:t>
      </w:r>
      <w:r w:rsidR="006C65A4" w:rsidRPr="0034148C">
        <w:t xml:space="preserve">the </w:t>
      </w:r>
      <w:r w:rsidR="007D32FD" w:rsidRPr="0034148C">
        <w:t>component against</w:t>
      </w:r>
      <w:r w:rsidRPr="0034148C">
        <w:t xml:space="preserve"> these quantitative indicators, an intensive review of project related documents was undertaken. Documents developed during the lifetime of the project implementation (Mid-term Evaluation Reports, Consent Reports (monthly reporting forms, pre-post results of achievement tests), Baseline Assessment Report, SIIMS Reporting Forms etc.) were studied and analyzed.  The indicators and data from CONSENT’s reports </w:t>
      </w:r>
      <w:proofErr w:type="gramStart"/>
      <w:r w:rsidRPr="0034148C">
        <w:t>can be found</w:t>
      </w:r>
      <w:proofErr w:type="gramEnd"/>
      <w:r w:rsidRPr="0034148C">
        <w:t xml:space="preserve"> in</w:t>
      </w:r>
      <w:r w:rsidR="005A3BD1">
        <w:t xml:space="preserve"> the full </w:t>
      </w:r>
      <w:r w:rsidR="00246068">
        <w:t xml:space="preserve">evaluation </w:t>
      </w:r>
      <w:r w:rsidR="005A3BD1">
        <w:t>report (Rukhadze</w:t>
      </w:r>
      <w:r w:rsidR="006C65A4" w:rsidRPr="0034148C">
        <w:t>, 2012)</w:t>
      </w:r>
      <w:r w:rsidRPr="0034148C">
        <w:t>.</w:t>
      </w:r>
    </w:p>
    <w:p w:rsidR="00C70CF6" w:rsidRPr="0034148C" w:rsidRDefault="00C70CF6" w:rsidP="00341E7E">
      <w:r w:rsidRPr="0034148C">
        <w:t xml:space="preserve">In addition to the document review, a qualitative study (focus-group discussions and in-depth interviews) </w:t>
      </w:r>
      <w:proofErr w:type="gramStart"/>
      <w:r w:rsidR="00E02922" w:rsidRPr="0034148C">
        <w:t xml:space="preserve">was </w:t>
      </w:r>
      <w:r w:rsidR="00E02922">
        <w:t>undertaken</w:t>
      </w:r>
      <w:proofErr w:type="gramEnd"/>
      <w:r w:rsidRPr="0034148C">
        <w:t xml:space="preserve"> to deepen findings derived from administrative sources/ project documents with a more qualitative perspective on the impact of this SIIMS component.  FGDs were conducted in Shida Kartli and Kvemo Kartli regions and covered three target groups – a) internally displaced </w:t>
      </w:r>
      <w:r w:rsidR="000A4BBF" w:rsidRPr="0034148C">
        <w:t>student</w:t>
      </w:r>
      <w:r w:rsidRPr="0034148C">
        <w:t xml:space="preserve">s (new and old), b) local </w:t>
      </w:r>
      <w:r w:rsidR="000A4BBF" w:rsidRPr="0034148C">
        <w:t>student</w:t>
      </w:r>
      <w:r w:rsidRPr="0034148C">
        <w:t xml:space="preserve">s and c) schools personnel (school principals and teachers). A qualitative survey </w:t>
      </w:r>
      <w:proofErr w:type="gramStart"/>
      <w:r w:rsidRPr="0034148C">
        <w:t>was administered</w:t>
      </w:r>
      <w:proofErr w:type="gramEnd"/>
      <w:r w:rsidRPr="0034148C">
        <w:t xml:space="preserve"> separately with IDPs, local </w:t>
      </w:r>
      <w:r w:rsidR="000A4BBF" w:rsidRPr="0034148C">
        <w:t>student</w:t>
      </w:r>
      <w:r w:rsidRPr="0034148C">
        <w:t xml:space="preserve">s and school personnel in order to reach maximum level of </w:t>
      </w:r>
      <w:r w:rsidR="00341E7E" w:rsidRPr="0034148C">
        <w:t xml:space="preserve">candor </w:t>
      </w:r>
      <w:r w:rsidRPr="0034148C">
        <w:t xml:space="preserve">among the respondents and to ensure confidentiality. As a result, six FGDs </w:t>
      </w:r>
      <w:proofErr w:type="gramStart"/>
      <w:r w:rsidRPr="0034148C">
        <w:t>were conducted</w:t>
      </w:r>
      <w:proofErr w:type="gramEnd"/>
      <w:r w:rsidRPr="0034148C">
        <w:t xml:space="preserve"> in total (three in each region).  </w:t>
      </w:r>
    </w:p>
    <w:p w:rsidR="00C70CF6" w:rsidRPr="0034148C" w:rsidRDefault="000A4BBF" w:rsidP="00341E7E">
      <w:r w:rsidRPr="0034148C">
        <w:lastRenderedPageBreak/>
        <w:t>Student</w:t>
      </w:r>
      <w:r w:rsidR="00C70CF6" w:rsidRPr="0034148C">
        <w:t xml:space="preserve">s </w:t>
      </w:r>
      <w:proofErr w:type="gramStart"/>
      <w:r w:rsidR="00E02922" w:rsidRPr="0034148C">
        <w:t>were</w:t>
      </w:r>
      <w:r w:rsidR="00E02922">
        <w:t xml:space="preserve"> </w:t>
      </w:r>
      <w:r w:rsidR="00E02922" w:rsidRPr="0034148C">
        <w:t>randomly</w:t>
      </w:r>
      <w:r w:rsidR="00C70CF6" w:rsidRPr="0034148C">
        <w:t xml:space="preserve"> selected</w:t>
      </w:r>
      <w:proofErr w:type="gramEnd"/>
      <w:r w:rsidR="00C70CF6" w:rsidRPr="0034148C">
        <w:t xml:space="preserve"> from the SIIMS target schools. Mixed groups were formed (mixed gender, age groups and involvement status (trainers/training participants/non-participants). All of the mentioned characteristics/criteria </w:t>
      </w:r>
      <w:proofErr w:type="gramStart"/>
      <w:r w:rsidR="00C70CF6" w:rsidRPr="0034148C">
        <w:t>were equally distributed</w:t>
      </w:r>
      <w:proofErr w:type="gramEnd"/>
      <w:r w:rsidR="00C70CF6" w:rsidRPr="0034148C">
        <w:t xml:space="preserve"> within the FGD group members. The </w:t>
      </w:r>
      <w:r w:rsidR="00341E7E" w:rsidRPr="0034148C">
        <w:t>a</w:t>
      </w:r>
      <w:r w:rsidR="00C70CF6" w:rsidRPr="0034148C">
        <w:t xml:space="preserve">verage size of the groups was 12 participants. The mean duration of the discussions was 1.5 hours. </w:t>
      </w:r>
    </w:p>
    <w:p w:rsidR="00C70CF6" w:rsidRPr="0034148C" w:rsidRDefault="00C70CF6" w:rsidP="00341E7E">
      <w:r w:rsidRPr="0034148C">
        <w:t xml:space="preserve">In addition, two in-depth interviews were conducted with the </w:t>
      </w:r>
      <w:r w:rsidR="00E036E1" w:rsidRPr="0034148C">
        <w:t>CONSENT</w:t>
      </w:r>
      <w:r w:rsidRPr="0034148C">
        <w:t xml:space="preserve"> representative and the CARE SIIMS </w:t>
      </w:r>
      <w:r w:rsidR="005A3BD1" w:rsidRPr="00B670CD">
        <w:t>CSO Development Manager</w:t>
      </w:r>
      <w:r w:rsidRPr="0034148C">
        <w:t xml:space="preserve"> (average duration was 1 hour). All discussions </w:t>
      </w:r>
      <w:proofErr w:type="gramStart"/>
      <w:r w:rsidR="00E02922" w:rsidRPr="0034148C">
        <w:t xml:space="preserve">were </w:t>
      </w:r>
      <w:r w:rsidR="00E02922">
        <w:t>recorded</w:t>
      </w:r>
      <w:r w:rsidRPr="0034148C">
        <w:t xml:space="preserve"> and transcribed</w:t>
      </w:r>
      <w:proofErr w:type="gramEnd"/>
      <w:r w:rsidRPr="0034148C">
        <w:t xml:space="preserve">. </w:t>
      </w:r>
    </w:p>
    <w:p w:rsidR="0046020E" w:rsidRPr="0034148C" w:rsidRDefault="000358DD" w:rsidP="000358DD">
      <w:pPr>
        <w:pStyle w:val="Heading2"/>
      </w:pPr>
      <w:bookmarkStart w:id="57" w:name="_Toc338572112"/>
      <w:bookmarkStart w:id="58" w:name="_Toc338717123"/>
      <w:bookmarkStart w:id="59" w:name="_Toc338750154"/>
      <w:bookmarkStart w:id="60" w:name="_Toc339368747"/>
      <w:r w:rsidRPr="0034148C">
        <w:t xml:space="preserve">2.3 </w:t>
      </w:r>
      <w:r w:rsidR="003F652C">
        <w:t>Methods used for f</w:t>
      </w:r>
      <w:r w:rsidRPr="0034148C">
        <w:t>inal evaluation</w:t>
      </w:r>
      <w:bookmarkEnd w:id="57"/>
      <w:bookmarkEnd w:id="58"/>
      <w:bookmarkEnd w:id="59"/>
      <w:bookmarkEnd w:id="60"/>
    </w:p>
    <w:p w:rsidR="000358DD" w:rsidRPr="0034148C" w:rsidRDefault="00D4290E" w:rsidP="000358DD">
      <w:r w:rsidRPr="0034148C">
        <w:t>Besides the document review and analysis of monitoring data described above, the final evaluation included primary data collection of both quantitative and qualitative data.</w:t>
      </w:r>
      <w:r w:rsidR="002E2090" w:rsidRPr="0034148C">
        <w:t xml:space="preserve"> Most of this data collection took place in June 2012, with the exception of the women entrepreneur </w:t>
      </w:r>
      <w:r w:rsidR="00E02922" w:rsidRPr="0034148C">
        <w:t>survey, which</w:t>
      </w:r>
      <w:r w:rsidR="002E2090" w:rsidRPr="0034148C">
        <w:t xml:space="preserve"> </w:t>
      </w:r>
      <w:proofErr w:type="gramStart"/>
      <w:r w:rsidR="002E2090" w:rsidRPr="0034148C">
        <w:t>was conducted</w:t>
      </w:r>
      <w:proofErr w:type="gramEnd"/>
      <w:r w:rsidR="002E2090" w:rsidRPr="0034148C">
        <w:t xml:space="preserve"> in November 2011.</w:t>
      </w:r>
    </w:p>
    <w:p w:rsidR="00D4290E" w:rsidRPr="0034148C" w:rsidRDefault="00D4290E" w:rsidP="00D4290E">
      <w:pPr>
        <w:pStyle w:val="Heading3"/>
      </w:pPr>
      <w:bookmarkStart w:id="61" w:name="_Toc338572113"/>
      <w:bookmarkStart w:id="62" w:name="_Toc338717124"/>
      <w:bookmarkStart w:id="63" w:name="_Toc338750155"/>
      <w:bookmarkStart w:id="64" w:name="_Toc339368748"/>
      <w:r w:rsidRPr="0034148C">
        <w:t>2.3.1 Participant surveys</w:t>
      </w:r>
      <w:bookmarkEnd w:id="61"/>
      <w:bookmarkEnd w:id="62"/>
      <w:bookmarkEnd w:id="63"/>
      <w:bookmarkEnd w:id="64"/>
    </w:p>
    <w:p w:rsidR="00D4290E" w:rsidRPr="0034148C" w:rsidRDefault="00D4290E" w:rsidP="00D4290E">
      <w:r w:rsidRPr="0034148C">
        <w:t xml:space="preserve">Two quantitative surveys </w:t>
      </w:r>
      <w:proofErr w:type="gramStart"/>
      <w:r w:rsidRPr="0034148C">
        <w:t>were conducted</w:t>
      </w:r>
      <w:proofErr w:type="gramEnd"/>
      <w:r w:rsidRPr="0034148C">
        <w:t xml:space="preserve"> with program recipients. Grantees of the women’s entrepreneurship program </w:t>
      </w:r>
      <w:proofErr w:type="gramStart"/>
      <w:r w:rsidRPr="0034148C">
        <w:t>were interviewed</w:t>
      </w:r>
      <w:proofErr w:type="gramEnd"/>
      <w:r w:rsidR="002E2090" w:rsidRPr="0034148C">
        <w:t xml:space="preserve"> in November 2011</w:t>
      </w:r>
      <w:r w:rsidRPr="0034148C">
        <w:t xml:space="preserve">. </w:t>
      </w:r>
      <w:r w:rsidR="002E65E7" w:rsidRPr="0034148C">
        <w:t xml:space="preserve">Of the 59 Round </w:t>
      </w:r>
      <w:proofErr w:type="gramStart"/>
      <w:r w:rsidR="002E65E7" w:rsidRPr="0034148C">
        <w:t>1</w:t>
      </w:r>
      <w:proofErr w:type="gramEnd"/>
      <w:r w:rsidR="002E65E7" w:rsidRPr="0034148C">
        <w:t xml:space="preserve"> and 2 recipients representing 57 businesses, 49 were interviewed representing 49 businesses (83%). Grantees </w:t>
      </w:r>
      <w:proofErr w:type="gramStart"/>
      <w:r w:rsidR="002E65E7" w:rsidRPr="0034148C">
        <w:t>were asked</w:t>
      </w:r>
      <w:proofErr w:type="gramEnd"/>
      <w:r w:rsidR="002E65E7" w:rsidRPr="0034148C">
        <w:t xml:space="preserve"> about their current income and expenses, their income and expenses before beginning the business, and their attitudes about business and gender roles. </w:t>
      </w:r>
      <w:r w:rsidR="00DA39E5">
        <w:t xml:space="preserve">SIIMS project staff </w:t>
      </w:r>
      <w:r w:rsidR="002E65E7" w:rsidRPr="0034148C">
        <w:t>carried out the interviews.</w:t>
      </w:r>
    </w:p>
    <w:p w:rsidR="002E65E7" w:rsidRPr="0034148C" w:rsidRDefault="002E65E7" w:rsidP="00D4290E">
      <w:r w:rsidRPr="0034148C">
        <w:t>The second quantitative survey</w:t>
      </w:r>
      <w:r w:rsidR="005A3BD1">
        <w:t xml:space="preserve"> </w:t>
      </w:r>
      <w:proofErr w:type="gramStart"/>
      <w:r w:rsidRPr="0034148C">
        <w:t>was conducted</w:t>
      </w:r>
      <w:proofErr w:type="gramEnd"/>
      <w:r w:rsidRPr="0034148C">
        <w:t xml:space="preserve"> </w:t>
      </w:r>
      <w:r w:rsidR="002E2090" w:rsidRPr="0034148C">
        <w:t xml:space="preserve">in June 2012 </w:t>
      </w:r>
      <w:r w:rsidR="005A78CF" w:rsidRPr="0034148C">
        <w:t xml:space="preserve">with 52 IDP farmers and 45 local farmers who were users of the </w:t>
      </w:r>
      <w:r w:rsidR="00E02922" w:rsidRPr="0034148C">
        <w:t>agricultural</w:t>
      </w:r>
      <w:r w:rsidR="00E02922">
        <w:t xml:space="preserve"> </w:t>
      </w:r>
      <w:r w:rsidR="00E02922" w:rsidRPr="0034148C">
        <w:t xml:space="preserve">machinery </w:t>
      </w:r>
      <w:r w:rsidR="00E02922">
        <w:t>program</w:t>
      </w:r>
      <w:r w:rsidR="005A78CF" w:rsidRPr="0034148C">
        <w:t xml:space="preserve">. </w:t>
      </w:r>
      <w:r w:rsidR="005A3BD1">
        <w:t xml:space="preserve"> </w:t>
      </w:r>
      <w:r w:rsidR="005A78CF" w:rsidRPr="0034148C">
        <w:t xml:space="preserve">The farmers </w:t>
      </w:r>
      <w:proofErr w:type="gramStart"/>
      <w:r w:rsidR="005A78CF" w:rsidRPr="0034148C">
        <w:t>were asked</w:t>
      </w:r>
      <w:proofErr w:type="gramEnd"/>
      <w:r w:rsidR="005A78CF" w:rsidRPr="0034148C">
        <w:t xml:space="preserve"> about their income, expenses and number of hectares cultivated before and after th</w:t>
      </w:r>
      <w:r w:rsidR="001371AC" w:rsidRPr="0034148C">
        <w:t xml:space="preserve">e agricultural machinery was available. </w:t>
      </w:r>
    </w:p>
    <w:p w:rsidR="00E0434E" w:rsidRPr="0034148C" w:rsidRDefault="00E0434E" w:rsidP="00D4290E">
      <w:r w:rsidRPr="0034148C">
        <w:t xml:space="preserve">Survey questionnaires </w:t>
      </w:r>
      <w:proofErr w:type="gramStart"/>
      <w:r w:rsidRPr="0034148C">
        <w:t>are presented</w:t>
      </w:r>
      <w:proofErr w:type="gramEnd"/>
      <w:r w:rsidRPr="0034148C">
        <w:t xml:space="preserve"> in Annex 2.</w:t>
      </w:r>
    </w:p>
    <w:p w:rsidR="001371AC" w:rsidRPr="0034148C" w:rsidRDefault="001371AC" w:rsidP="001371AC">
      <w:pPr>
        <w:pStyle w:val="Heading3"/>
      </w:pPr>
      <w:bookmarkStart w:id="65" w:name="_Toc338572114"/>
      <w:bookmarkStart w:id="66" w:name="_Toc338717125"/>
      <w:bookmarkStart w:id="67" w:name="_Toc338750156"/>
      <w:bookmarkStart w:id="68" w:name="_Toc339368749"/>
      <w:r w:rsidRPr="0034148C">
        <w:t>2.3.2 Focus group discussions</w:t>
      </w:r>
      <w:bookmarkEnd w:id="65"/>
      <w:bookmarkEnd w:id="66"/>
      <w:bookmarkEnd w:id="67"/>
      <w:bookmarkEnd w:id="68"/>
    </w:p>
    <w:p w:rsidR="001371AC" w:rsidRPr="0034148C" w:rsidRDefault="001371AC" w:rsidP="001371AC">
      <w:r w:rsidRPr="0034148C">
        <w:t xml:space="preserve">Six focus group discussions (FGDs) </w:t>
      </w:r>
      <w:proofErr w:type="gramStart"/>
      <w:r w:rsidRPr="0034148C">
        <w:t>were conducted</w:t>
      </w:r>
      <w:proofErr w:type="gramEnd"/>
      <w:r w:rsidRPr="0034148C">
        <w:t xml:space="preserve"> as shown in Table 2.1 below.</w:t>
      </w:r>
      <w:r w:rsidR="007731C7" w:rsidRPr="0034148C">
        <w:t xml:space="preserve"> Guidelines for the </w:t>
      </w:r>
      <w:r w:rsidR="002A409E" w:rsidRPr="0034148C">
        <w:t xml:space="preserve">discussions </w:t>
      </w:r>
      <w:proofErr w:type="gramStart"/>
      <w:r w:rsidR="002A409E" w:rsidRPr="0034148C">
        <w:t>are shown</w:t>
      </w:r>
      <w:proofErr w:type="gramEnd"/>
      <w:r w:rsidR="002A409E" w:rsidRPr="0034148C">
        <w:t xml:space="preserve"> in Annex 3</w:t>
      </w:r>
      <w:r w:rsidR="007731C7" w:rsidRPr="0034148C">
        <w:t xml:space="preserve">. In each case, focus group participants </w:t>
      </w:r>
      <w:proofErr w:type="gramStart"/>
      <w:r w:rsidR="007731C7" w:rsidRPr="0034148C">
        <w:t>were selected</w:t>
      </w:r>
      <w:proofErr w:type="gramEnd"/>
      <w:r w:rsidR="007731C7" w:rsidRPr="0034148C">
        <w:t xml:space="preserve"> randomly from the list of project participants in the appropriate category. </w:t>
      </w:r>
      <w:proofErr w:type="gramStart"/>
      <w:r w:rsidR="007731C7" w:rsidRPr="0034148C">
        <w:t>T</w:t>
      </w:r>
      <w:r w:rsidRPr="0034148C">
        <w:t xml:space="preserve">he FGDs were conducted </w:t>
      </w:r>
      <w:r w:rsidR="002E2090" w:rsidRPr="0034148C">
        <w:t xml:space="preserve">in Georgian </w:t>
      </w:r>
      <w:r w:rsidR="005A3BD1">
        <w:t xml:space="preserve">at </w:t>
      </w:r>
      <w:r w:rsidR="00E02922">
        <w:t xml:space="preserve">CARE’s office </w:t>
      </w:r>
      <w:r w:rsidR="00E02922" w:rsidRPr="0034148C">
        <w:t>in</w:t>
      </w:r>
      <w:r w:rsidRPr="0034148C">
        <w:t xml:space="preserve"> Gori by two independent research professionals</w:t>
      </w:r>
      <w:proofErr w:type="gramEnd"/>
      <w:r w:rsidRPr="0034148C">
        <w:t xml:space="preserve">. The </w:t>
      </w:r>
      <w:proofErr w:type="gramStart"/>
      <w:r w:rsidR="00E02922" w:rsidRPr="0034148C">
        <w:t>groups</w:t>
      </w:r>
      <w:r w:rsidR="00E02922">
        <w:t xml:space="preserve"> </w:t>
      </w:r>
      <w:r w:rsidR="00E02922" w:rsidRPr="0034148C">
        <w:t>were</w:t>
      </w:r>
      <w:r w:rsidRPr="0034148C">
        <w:t xml:space="preserve"> </w:t>
      </w:r>
      <w:r w:rsidR="00E02922" w:rsidRPr="0034148C">
        <w:t xml:space="preserve">observed </w:t>
      </w:r>
      <w:r w:rsidR="00E02922">
        <w:t>by</w:t>
      </w:r>
      <w:r w:rsidRPr="0034148C">
        <w:t xml:space="preserve"> the translator</w:t>
      </w:r>
      <w:r w:rsidR="00E819DA" w:rsidRPr="0034148C">
        <w:t xml:space="preserve"> and the principal researcher</w:t>
      </w:r>
      <w:proofErr w:type="gramEnd"/>
      <w:r w:rsidRPr="0034148C">
        <w:t xml:space="preserve"> and the discussions were recorded. The translator then prepared detailed notes in English about the discu</w:t>
      </w:r>
      <w:r w:rsidR="00DE3AAE" w:rsidRPr="0034148C">
        <w:t>s</w:t>
      </w:r>
      <w:r w:rsidRPr="0034148C">
        <w:t>sion</w:t>
      </w:r>
      <w:r w:rsidR="00DE3AAE" w:rsidRPr="0034148C">
        <w:t>, referring to the recordings when necessary</w:t>
      </w:r>
      <w:r w:rsidRPr="0034148C">
        <w:t xml:space="preserve">. </w:t>
      </w:r>
    </w:p>
    <w:p w:rsidR="00E036E1" w:rsidRDefault="00E036E1">
      <w:pPr>
        <w:spacing w:after="200"/>
        <w:jc w:val="left"/>
        <w:rPr>
          <w:rFonts w:eastAsiaTheme="majorEastAsia" w:cs="Angsana New"/>
          <w:b/>
          <w:bCs/>
          <w:iCs/>
        </w:rPr>
      </w:pPr>
      <w:bookmarkStart w:id="69" w:name="_Toc338572010"/>
      <w:bookmarkStart w:id="70" w:name="_Toc338717191"/>
      <w:r>
        <w:br w:type="page"/>
      </w:r>
    </w:p>
    <w:p w:rsidR="003C170B" w:rsidRPr="0034148C" w:rsidRDefault="00DE3AAE" w:rsidP="00DE3AAE">
      <w:pPr>
        <w:pStyle w:val="Heading4"/>
      </w:pPr>
      <w:bookmarkStart w:id="71" w:name="_Toc338750265"/>
      <w:bookmarkStart w:id="72" w:name="_Toc339368877"/>
      <w:r w:rsidRPr="0034148C">
        <w:lastRenderedPageBreak/>
        <w:t>Table 2.1 Focus group discussions</w:t>
      </w:r>
      <w:bookmarkEnd w:id="69"/>
      <w:r w:rsidR="00F0748E" w:rsidRPr="0034148C">
        <w:t xml:space="preserve"> conducted for the final evaluation</w:t>
      </w:r>
      <w:bookmarkEnd w:id="70"/>
      <w:bookmarkEnd w:id="71"/>
      <w:bookmarkEnd w:id="72"/>
    </w:p>
    <w:tbl>
      <w:tblPr>
        <w:tblStyle w:val="TableGrid"/>
        <w:tblW w:w="0" w:type="auto"/>
        <w:tblLook w:val="04A0"/>
      </w:tblPr>
      <w:tblGrid>
        <w:gridCol w:w="3192"/>
        <w:gridCol w:w="3192"/>
        <w:gridCol w:w="3192"/>
      </w:tblGrid>
      <w:tr w:rsidR="00DE3AAE" w:rsidRPr="0034148C" w:rsidTr="00DE3AAE">
        <w:tc>
          <w:tcPr>
            <w:tcW w:w="3192" w:type="dxa"/>
          </w:tcPr>
          <w:p w:rsidR="00DE3AAE" w:rsidRPr="0034148C" w:rsidRDefault="00BB7CC9" w:rsidP="00BB7CC9">
            <w:pPr>
              <w:jc w:val="center"/>
              <w:rPr>
                <w:b/>
                <w:bCs/>
                <w:i/>
                <w:iCs/>
              </w:rPr>
            </w:pPr>
            <w:r w:rsidRPr="0034148C">
              <w:rPr>
                <w:b/>
                <w:bCs/>
                <w:i/>
                <w:iCs/>
              </w:rPr>
              <w:t>Program</w:t>
            </w:r>
          </w:p>
        </w:tc>
        <w:tc>
          <w:tcPr>
            <w:tcW w:w="3192" w:type="dxa"/>
          </w:tcPr>
          <w:p w:rsidR="00DE3AAE" w:rsidRPr="0034148C" w:rsidRDefault="00DE3AAE" w:rsidP="00DE3AAE">
            <w:pPr>
              <w:jc w:val="center"/>
              <w:rPr>
                <w:b/>
                <w:bCs/>
              </w:rPr>
            </w:pPr>
            <w:r w:rsidRPr="0034148C">
              <w:rPr>
                <w:b/>
                <w:bCs/>
              </w:rPr>
              <w:t>Group 1</w:t>
            </w:r>
          </w:p>
        </w:tc>
        <w:tc>
          <w:tcPr>
            <w:tcW w:w="3192" w:type="dxa"/>
          </w:tcPr>
          <w:p w:rsidR="00DE3AAE" w:rsidRPr="0034148C" w:rsidRDefault="00DE3AAE" w:rsidP="00DE3AAE">
            <w:pPr>
              <w:jc w:val="center"/>
              <w:rPr>
                <w:b/>
                <w:bCs/>
              </w:rPr>
            </w:pPr>
            <w:r w:rsidRPr="0034148C">
              <w:rPr>
                <w:b/>
                <w:bCs/>
              </w:rPr>
              <w:t>Group 2</w:t>
            </w:r>
          </w:p>
        </w:tc>
      </w:tr>
      <w:tr w:rsidR="00DE3AAE" w:rsidRPr="0034148C" w:rsidTr="00DE3AAE">
        <w:tc>
          <w:tcPr>
            <w:tcW w:w="3192" w:type="dxa"/>
          </w:tcPr>
          <w:p w:rsidR="00DE3AAE" w:rsidRPr="0034148C" w:rsidRDefault="00BB7CC9" w:rsidP="00DE3AAE">
            <w:pPr>
              <w:rPr>
                <w:i/>
                <w:iCs/>
              </w:rPr>
            </w:pPr>
            <w:r w:rsidRPr="0034148C">
              <w:rPr>
                <w:i/>
                <w:iCs/>
              </w:rPr>
              <w:t>Agricultural machinery</w:t>
            </w:r>
          </w:p>
        </w:tc>
        <w:tc>
          <w:tcPr>
            <w:tcW w:w="3192" w:type="dxa"/>
          </w:tcPr>
          <w:p w:rsidR="00DE3AAE" w:rsidRPr="0034148C" w:rsidRDefault="00BB7CC9" w:rsidP="00DE3AAE">
            <w:r w:rsidRPr="0034148C">
              <w:t>IDP users</w:t>
            </w:r>
          </w:p>
        </w:tc>
        <w:tc>
          <w:tcPr>
            <w:tcW w:w="3192" w:type="dxa"/>
          </w:tcPr>
          <w:p w:rsidR="00DE3AAE" w:rsidRPr="0034148C" w:rsidRDefault="00BB7CC9" w:rsidP="00DE3AAE">
            <w:r w:rsidRPr="0034148C">
              <w:t>Local farmer users</w:t>
            </w:r>
          </w:p>
        </w:tc>
      </w:tr>
      <w:tr w:rsidR="00BB7CC9" w:rsidRPr="0034148C" w:rsidTr="00DE3AAE">
        <w:tc>
          <w:tcPr>
            <w:tcW w:w="3192" w:type="dxa"/>
          </w:tcPr>
          <w:p w:rsidR="00BB7CC9" w:rsidRPr="0034148C" w:rsidRDefault="00BB7CC9" w:rsidP="001A48CA">
            <w:pPr>
              <w:rPr>
                <w:i/>
                <w:iCs/>
              </w:rPr>
            </w:pPr>
            <w:r w:rsidRPr="0034148C">
              <w:rPr>
                <w:i/>
                <w:iCs/>
              </w:rPr>
              <w:t>Women entrepreneurs</w:t>
            </w:r>
          </w:p>
        </w:tc>
        <w:tc>
          <w:tcPr>
            <w:tcW w:w="3192" w:type="dxa"/>
          </w:tcPr>
          <w:p w:rsidR="00BB7CC9" w:rsidRPr="0034148C" w:rsidRDefault="00BB7CC9" w:rsidP="001A48CA">
            <w:r w:rsidRPr="0034148C">
              <w:t>Grantees</w:t>
            </w:r>
          </w:p>
        </w:tc>
        <w:tc>
          <w:tcPr>
            <w:tcW w:w="3192" w:type="dxa"/>
          </w:tcPr>
          <w:p w:rsidR="00BB7CC9" w:rsidRPr="0034148C" w:rsidRDefault="00BB7CC9" w:rsidP="001A48CA">
            <w:r w:rsidRPr="0034148C">
              <w:t>Finalists who were not grantees</w:t>
            </w:r>
          </w:p>
        </w:tc>
      </w:tr>
      <w:tr w:rsidR="00BB7CC9" w:rsidRPr="0034148C" w:rsidTr="00DE3AAE">
        <w:tc>
          <w:tcPr>
            <w:tcW w:w="3192" w:type="dxa"/>
          </w:tcPr>
          <w:p w:rsidR="00BB7CC9" w:rsidRPr="0034148C" w:rsidRDefault="00BB7CC9" w:rsidP="00DE3AAE">
            <w:pPr>
              <w:rPr>
                <w:i/>
                <w:iCs/>
              </w:rPr>
            </w:pPr>
            <w:r w:rsidRPr="0034148C">
              <w:rPr>
                <w:i/>
                <w:iCs/>
              </w:rPr>
              <w:t>Infrastructure</w:t>
            </w:r>
          </w:p>
        </w:tc>
        <w:tc>
          <w:tcPr>
            <w:tcW w:w="3192" w:type="dxa"/>
          </w:tcPr>
          <w:p w:rsidR="00BB7CC9" w:rsidRPr="0034148C" w:rsidRDefault="00BB7CC9" w:rsidP="00BB7CC9">
            <w:r w:rsidRPr="0034148C">
              <w:t>Economic infrastructure</w:t>
            </w:r>
          </w:p>
        </w:tc>
        <w:tc>
          <w:tcPr>
            <w:tcW w:w="3192" w:type="dxa"/>
          </w:tcPr>
          <w:p w:rsidR="00BB7CC9" w:rsidRPr="0034148C" w:rsidRDefault="00BB7CC9" w:rsidP="00DE3AAE">
            <w:r w:rsidRPr="0034148C">
              <w:t>Social infrastructure</w:t>
            </w:r>
          </w:p>
        </w:tc>
      </w:tr>
    </w:tbl>
    <w:p w:rsidR="00DE3AAE" w:rsidRPr="0034148C" w:rsidRDefault="00DE3AAE" w:rsidP="00DE3AAE"/>
    <w:p w:rsidR="0076335C" w:rsidRPr="0034148C" w:rsidRDefault="00E819DA" w:rsidP="00E819DA">
      <w:pPr>
        <w:pStyle w:val="Heading3"/>
      </w:pPr>
      <w:bookmarkStart w:id="73" w:name="_Toc338572115"/>
      <w:bookmarkStart w:id="74" w:name="_Toc338717126"/>
      <w:bookmarkStart w:id="75" w:name="_Toc338750157"/>
      <w:bookmarkStart w:id="76" w:name="_Toc339368750"/>
      <w:r w:rsidRPr="0034148C">
        <w:t>2.3.3 Individual and group interviews</w:t>
      </w:r>
      <w:bookmarkEnd w:id="73"/>
      <w:r w:rsidR="00E702DF" w:rsidRPr="0034148C">
        <w:t xml:space="preserve"> and site visits</w:t>
      </w:r>
      <w:bookmarkEnd w:id="74"/>
      <w:bookmarkEnd w:id="75"/>
      <w:bookmarkEnd w:id="76"/>
    </w:p>
    <w:p w:rsidR="00E036E1" w:rsidRDefault="00E819DA" w:rsidP="00E819DA">
      <w:r w:rsidRPr="0034148C">
        <w:t xml:space="preserve">Key </w:t>
      </w:r>
      <w:r w:rsidR="00E02922" w:rsidRPr="0034148C">
        <w:t>informants</w:t>
      </w:r>
      <w:r w:rsidR="00E02922">
        <w:t xml:space="preserve"> </w:t>
      </w:r>
      <w:r w:rsidR="00E02922" w:rsidRPr="0034148C">
        <w:t>including</w:t>
      </w:r>
      <w:r w:rsidR="00E702DF" w:rsidRPr="0034148C">
        <w:t xml:space="preserve"> government officials and </w:t>
      </w:r>
      <w:r w:rsidR="00DA39E5">
        <w:t xml:space="preserve">SIIMS project staff </w:t>
      </w:r>
      <w:proofErr w:type="gramStart"/>
      <w:r w:rsidR="00E702DF" w:rsidRPr="0034148C">
        <w:t>were interviewed</w:t>
      </w:r>
      <w:proofErr w:type="gramEnd"/>
      <w:r w:rsidR="00E702DF" w:rsidRPr="0034148C">
        <w:t xml:space="preserve"> about multiple aspects of the projects’ administration, implementation and effectiveness.</w:t>
      </w:r>
      <w:r w:rsidR="000E4E3F" w:rsidRPr="0034148C">
        <w:t xml:space="preserve"> Site visits </w:t>
      </w:r>
      <w:proofErr w:type="gramStart"/>
      <w:r w:rsidR="000E4E3F" w:rsidRPr="0034148C">
        <w:t>were made</w:t>
      </w:r>
      <w:proofErr w:type="gramEnd"/>
      <w:r w:rsidR="000E4E3F" w:rsidRPr="0034148C">
        <w:t xml:space="preserve"> to agricultural machinery communities, grants-for-jobs enterprises and social and economic infrastructure projects. Program participants </w:t>
      </w:r>
      <w:proofErr w:type="gramStart"/>
      <w:r w:rsidR="00E02922" w:rsidRPr="0034148C">
        <w:t>were</w:t>
      </w:r>
      <w:r w:rsidR="00E02922">
        <w:t xml:space="preserve"> </w:t>
      </w:r>
      <w:r w:rsidR="00E02922" w:rsidRPr="0034148C">
        <w:t>interviewed</w:t>
      </w:r>
      <w:proofErr w:type="gramEnd"/>
      <w:r w:rsidR="000E4E3F" w:rsidRPr="0034148C">
        <w:t xml:space="preserve"> at the sites, either individually or in a group. </w:t>
      </w:r>
      <w:r w:rsidRPr="0034148C">
        <w:t xml:space="preserve"> </w:t>
      </w:r>
      <w:r w:rsidR="001F137B" w:rsidRPr="0034148C">
        <w:t xml:space="preserve">A list of persons interviewed and sites visited </w:t>
      </w:r>
      <w:proofErr w:type="gramStart"/>
      <w:r w:rsidR="001F137B" w:rsidRPr="0034148C">
        <w:t>is given</w:t>
      </w:r>
      <w:proofErr w:type="gramEnd"/>
      <w:r w:rsidR="001F137B" w:rsidRPr="0034148C">
        <w:t xml:space="preserve"> in Annex 4.</w:t>
      </w:r>
      <w:r w:rsidR="00E702DF" w:rsidRPr="0034148C">
        <w:t xml:space="preserve"> </w:t>
      </w:r>
    </w:p>
    <w:p w:rsidR="00871BFB" w:rsidRPr="0034148C" w:rsidRDefault="00E819DA" w:rsidP="00E819DA">
      <w:r w:rsidRPr="0034148C">
        <w:t xml:space="preserve">Individual interviews </w:t>
      </w:r>
      <w:proofErr w:type="gramStart"/>
      <w:r w:rsidRPr="0034148C">
        <w:t>were conducted</w:t>
      </w:r>
      <w:proofErr w:type="gramEnd"/>
      <w:r w:rsidRPr="0034148C">
        <w:t xml:space="preserve"> with </w:t>
      </w:r>
      <w:r w:rsidR="001F137B" w:rsidRPr="0034148C">
        <w:t xml:space="preserve">government officials as recommended by CARE. Interviews </w:t>
      </w:r>
      <w:proofErr w:type="gramStart"/>
      <w:r w:rsidR="001F137B" w:rsidRPr="0034148C">
        <w:t>were conducted</w:t>
      </w:r>
      <w:proofErr w:type="gramEnd"/>
      <w:r w:rsidR="001F137B" w:rsidRPr="0034148C">
        <w:t xml:space="preserve"> with simultaneous translation using structured guidelines (</w:t>
      </w:r>
      <w:r w:rsidR="00E036E1">
        <w:t xml:space="preserve">presented in </w:t>
      </w:r>
      <w:r w:rsidR="001F137B" w:rsidRPr="0034148C">
        <w:t xml:space="preserve">Annex 5). </w:t>
      </w:r>
      <w:proofErr w:type="gramStart"/>
      <w:r w:rsidR="001F137B" w:rsidRPr="0034148C">
        <w:t>Staff from CARE and their partners were</w:t>
      </w:r>
      <w:proofErr w:type="gramEnd"/>
      <w:r w:rsidR="001F137B" w:rsidRPr="0034148C">
        <w:t xml:space="preserve"> interviewed in English when possible or </w:t>
      </w:r>
      <w:r w:rsidR="00871BFB" w:rsidRPr="0034148C">
        <w:t>through a translator</w:t>
      </w:r>
    </w:p>
    <w:p w:rsidR="00E702DF" w:rsidRPr="0034148C" w:rsidRDefault="00E702DF" w:rsidP="00E819DA">
      <w:r w:rsidRPr="0034148C">
        <w:t xml:space="preserve">Three agricultural machinery groups </w:t>
      </w:r>
      <w:proofErr w:type="gramStart"/>
      <w:r w:rsidRPr="0034148C">
        <w:t>were selected</w:t>
      </w:r>
      <w:proofErr w:type="gramEnd"/>
      <w:r w:rsidRPr="0034148C">
        <w:t xml:space="preserve"> randomly for site visits and </w:t>
      </w:r>
      <w:r w:rsidR="000E4E3F" w:rsidRPr="0034148C">
        <w:t xml:space="preserve">a group interview was conducted. Observation could be made of </w:t>
      </w:r>
      <w:proofErr w:type="gramStart"/>
      <w:r w:rsidR="000E4E3F" w:rsidRPr="0034148C">
        <w:t>the machinery and how it is stored</w:t>
      </w:r>
      <w:r w:rsidR="00E036E1">
        <w:t xml:space="preserve"> as well</w:t>
      </w:r>
      <w:proofErr w:type="gramEnd"/>
      <w:r w:rsidR="000E4E3F" w:rsidRPr="0034148C">
        <w:t>.</w:t>
      </w:r>
    </w:p>
    <w:p w:rsidR="00871BFB" w:rsidRPr="0034148C" w:rsidRDefault="00871BFB" w:rsidP="00E819DA">
      <w:r w:rsidRPr="0034148C">
        <w:t xml:space="preserve">Three grants-for-jobs enterprises </w:t>
      </w:r>
      <w:proofErr w:type="gramStart"/>
      <w:r w:rsidRPr="0034148C">
        <w:t>were selected</w:t>
      </w:r>
      <w:proofErr w:type="gramEnd"/>
      <w:r w:rsidRPr="0034148C">
        <w:t xml:space="preserve"> at random and were visited by the research team</w:t>
      </w:r>
      <w:r w:rsidR="00E02922" w:rsidRPr="0034148C">
        <w:t xml:space="preserve">, </w:t>
      </w:r>
      <w:r w:rsidR="00E02922">
        <w:t>accompanied</w:t>
      </w:r>
      <w:r w:rsidRPr="0034148C">
        <w:t xml:space="preserve"> by </w:t>
      </w:r>
      <w:r w:rsidR="00DA39E5">
        <w:t>SIIMS project staff</w:t>
      </w:r>
      <w:r w:rsidRPr="0034148C">
        <w:t>.</w:t>
      </w:r>
      <w:r w:rsidR="005A3BD1">
        <w:t xml:space="preserve"> </w:t>
      </w:r>
      <w:r w:rsidRPr="0034148C">
        <w:t xml:space="preserve"> Both the owners of the enterprise and 2-3 IDP employees </w:t>
      </w:r>
      <w:proofErr w:type="gramStart"/>
      <w:r w:rsidRPr="0034148C">
        <w:t>were interviewed</w:t>
      </w:r>
      <w:proofErr w:type="gramEnd"/>
      <w:r w:rsidRPr="0034148C">
        <w:t xml:space="preserve"> without CARE staff present. </w:t>
      </w:r>
    </w:p>
    <w:p w:rsidR="00871BFB" w:rsidRPr="0034148C" w:rsidRDefault="00871BFB" w:rsidP="00E819DA">
      <w:r w:rsidRPr="0034148C">
        <w:t xml:space="preserve">Two social infrastructure sites and two economic sites </w:t>
      </w:r>
      <w:proofErr w:type="gramStart"/>
      <w:r w:rsidRPr="0034148C">
        <w:t>were visited</w:t>
      </w:r>
      <w:proofErr w:type="gramEnd"/>
      <w:r w:rsidRPr="0034148C">
        <w:t xml:space="preserve"> and community members who participated in planning and building the projects were interviewed. Sites </w:t>
      </w:r>
      <w:proofErr w:type="gramStart"/>
      <w:r w:rsidRPr="0034148C">
        <w:t>were selected</w:t>
      </w:r>
      <w:proofErr w:type="gramEnd"/>
      <w:r w:rsidR="00E702DF" w:rsidRPr="0034148C">
        <w:t xml:space="preserve"> randomly</w:t>
      </w:r>
      <w:r w:rsidRPr="0034148C">
        <w:t>.</w:t>
      </w:r>
    </w:p>
    <w:p w:rsidR="003C170B" w:rsidRPr="0034148C" w:rsidRDefault="00BA5DC5" w:rsidP="00FD0C07">
      <w:pPr>
        <w:pStyle w:val="Heading1"/>
      </w:pPr>
      <w:bookmarkStart w:id="77" w:name="_Toc338572116"/>
      <w:bookmarkStart w:id="78" w:name="_Toc338717127"/>
      <w:bookmarkStart w:id="79" w:name="_Toc338750158"/>
      <w:bookmarkStart w:id="80" w:name="_Toc339368751"/>
      <w:r w:rsidRPr="0034148C">
        <w:t>3. Limitations of the S</w:t>
      </w:r>
      <w:r w:rsidR="00FD0C07" w:rsidRPr="0034148C">
        <w:t>tudy</w:t>
      </w:r>
      <w:bookmarkEnd w:id="77"/>
      <w:bookmarkEnd w:id="78"/>
      <w:bookmarkEnd w:id="79"/>
      <w:bookmarkEnd w:id="80"/>
      <w:r w:rsidR="00FD0C07" w:rsidRPr="0034148C">
        <w:t xml:space="preserve"> </w:t>
      </w:r>
    </w:p>
    <w:p w:rsidR="002E7705" w:rsidRPr="0034148C" w:rsidRDefault="00FD0C07" w:rsidP="0046020E">
      <w:r w:rsidRPr="0034148C">
        <w:t xml:space="preserve">Fieldwork for the final study took place within a brief period of about 10 days when the principal researcher was in country. </w:t>
      </w:r>
      <w:r w:rsidR="008D527F" w:rsidRPr="0034148C">
        <w:t>Time limitations made it impossible to do extensive qualitative research</w:t>
      </w:r>
      <w:r w:rsidR="002E7705" w:rsidRPr="0034148C">
        <w:t xml:space="preserve">; for example, only one focus group discussion </w:t>
      </w:r>
      <w:proofErr w:type="gramStart"/>
      <w:r w:rsidR="002E7705" w:rsidRPr="0034148C">
        <w:t>was conducted</w:t>
      </w:r>
      <w:proofErr w:type="gramEnd"/>
      <w:r w:rsidR="002E7705" w:rsidRPr="0034148C">
        <w:t xml:space="preserve"> with each group of interest, when it is generally good practice to conduct at least two</w:t>
      </w:r>
      <w:r w:rsidR="008D527F" w:rsidRPr="0034148C">
        <w:t xml:space="preserve">. While a very good translator </w:t>
      </w:r>
      <w:proofErr w:type="gramStart"/>
      <w:r w:rsidR="008D527F" w:rsidRPr="0034148C">
        <w:t>was employed</w:t>
      </w:r>
      <w:proofErr w:type="gramEnd"/>
      <w:r w:rsidR="008D527F" w:rsidRPr="0034148C">
        <w:t xml:space="preserve"> full-time, the language barrier may have been a factor affecting the ability to obtain a more nuanced understanding of the interviews</w:t>
      </w:r>
      <w:r w:rsidR="006440BC">
        <w:t xml:space="preserve"> and the ability to follow up on issues raised in the focus group discussions</w:t>
      </w:r>
      <w:r w:rsidR="008D527F" w:rsidRPr="0034148C">
        <w:t xml:space="preserve">. </w:t>
      </w:r>
    </w:p>
    <w:p w:rsidR="002E7705" w:rsidRPr="0034148C" w:rsidRDefault="002E7705" w:rsidP="0046020E">
      <w:r w:rsidRPr="0034148C">
        <w:lastRenderedPageBreak/>
        <w:t xml:space="preserve">CARE </w:t>
      </w:r>
      <w:proofErr w:type="gramStart"/>
      <w:r w:rsidRPr="0034148C">
        <w:t>staff were</w:t>
      </w:r>
      <w:proofErr w:type="gramEnd"/>
      <w:r w:rsidRPr="0034148C">
        <w:t xml:space="preserve"> invaluable at arranging the interviews and focus group discussions, the latter of which were held at the CARE office in Gori. </w:t>
      </w:r>
      <w:r w:rsidRPr="00206956">
        <w:t xml:space="preserve">CARE staff, sometimes in large numbers, accompanied the research team on the site visits and </w:t>
      </w:r>
      <w:r w:rsidR="00052F6C" w:rsidRPr="00206956">
        <w:t xml:space="preserve">most of the </w:t>
      </w:r>
      <w:r w:rsidRPr="00206956">
        <w:t>interviews</w:t>
      </w:r>
      <w:r w:rsidR="00052F6C" w:rsidRPr="00206956">
        <w:t xml:space="preserve">. </w:t>
      </w:r>
      <w:proofErr w:type="gramStart"/>
      <w:r w:rsidR="00052F6C" w:rsidRPr="00206956">
        <w:t xml:space="preserve">While </w:t>
      </w:r>
      <w:r w:rsidR="00B670CD" w:rsidRPr="00206956">
        <w:t xml:space="preserve">it was necessary for the CARE staff to arrange the site visits and </w:t>
      </w:r>
      <w:r w:rsidR="00052F6C" w:rsidRPr="00206956">
        <w:t>qualitative research</w:t>
      </w:r>
      <w:r w:rsidR="00DD061B" w:rsidRPr="00206956">
        <w:t xml:space="preserve">, and while they deliberately abstained from </w:t>
      </w:r>
      <w:r w:rsidR="003D0076" w:rsidRPr="00206956">
        <w:t xml:space="preserve">participating in </w:t>
      </w:r>
      <w:r w:rsidR="00DD061B" w:rsidRPr="00206956">
        <w:t xml:space="preserve">the interviews and FGDs, </w:t>
      </w:r>
      <w:r w:rsidR="00052F6C" w:rsidRPr="00206956">
        <w:t>it should be noted that the involvement of the project staff may influence respondents to be more positive about the programs and to be less candid about any problems or shortcomings</w:t>
      </w:r>
      <w:r w:rsidR="00DD061B" w:rsidRPr="00206956">
        <w:t xml:space="preserve"> than if the research was conducted completely independently</w:t>
      </w:r>
      <w:r w:rsidR="00052F6C" w:rsidRPr="00206956">
        <w:t>.</w:t>
      </w:r>
      <w:proofErr w:type="gramEnd"/>
    </w:p>
    <w:p w:rsidR="003C170B" w:rsidRPr="0034148C" w:rsidRDefault="008D527F" w:rsidP="0046020E">
      <w:r w:rsidRPr="0034148C">
        <w:t xml:space="preserve">Any additional </w:t>
      </w:r>
      <w:r w:rsidR="00052F6C" w:rsidRPr="0034148C">
        <w:t xml:space="preserve">biases or </w:t>
      </w:r>
      <w:r w:rsidRPr="0034148C">
        <w:t xml:space="preserve">errors </w:t>
      </w:r>
      <w:r w:rsidR="00052F6C" w:rsidRPr="0034148C">
        <w:t xml:space="preserve">found in the study </w:t>
      </w:r>
      <w:r w:rsidRPr="0034148C">
        <w:t>are the responsibility of the principal researcher.</w:t>
      </w:r>
    </w:p>
    <w:p w:rsidR="003C170B" w:rsidRPr="0034148C" w:rsidRDefault="007C33B9" w:rsidP="00555BE4">
      <w:pPr>
        <w:pStyle w:val="Heading1"/>
      </w:pPr>
      <w:bookmarkStart w:id="81" w:name="_Toc338325587"/>
      <w:bookmarkStart w:id="82" w:name="_Toc338572117"/>
      <w:bookmarkStart w:id="83" w:name="_Toc338717128"/>
      <w:bookmarkStart w:id="84" w:name="_Toc338750159"/>
      <w:bookmarkStart w:id="85" w:name="_Toc339368752"/>
      <w:r w:rsidRPr="0034148C">
        <w:t xml:space="preserve">4. </w:t>
      </w:r>
      <w:r w:rsidR="00BA5DC5" w:rsidRPr="0034148C">
        <w:t>C</w:t>
      </w:r>
      <w:r w:rsidRPr="0034148C">
        <w:t xml:space="preserve">omponent 1: </w:t>
      </w:r>
      <w:r w:rsidR="00BA5DC5" w:rsidRPr="0034148C">
        <w:t>I</w:t>
      </w:r>
      <w:r w:rsidRPr="0034148C">
        <w:t xml:space="preserve">ncome </w:t>
      </w:r>
      <w:r w:rsidR="00BA5DC5" w:rsidRPr="0034148C">
        <w:t>G</w:t>
      </w:r>
      <w:r w:rsidRPr="0034148C">
        <w:t>eneration</w:t>
      </w:r>
      <w:bookmarkEnd w:id="81"/>
      <w:bookmarkEnd w:id="82"/>
      <w:bookmarkEnd w:id="83"/>
      <w:bookmarkEnd w:id="84"/>
      <w:bookmarkEnd w:id="85"/>
    </w:p>
    <w:p w:rsidR="007C33B9" w:rsidRPr="0034148C" w:rsidRDefault="007E0E95" w:rsidP="00475419">
      <w:r w:rsidRPr="0034148C">
        <w:t xml:space="preserve">A major focus of the SIIMS project </w:t>
      </w:r>
      <w:r w:rsidR="00750B50" w:rsidRPr="0034148C">
        <w:t>wa</w:t>
      </w:r>
      <w:r w:rsidRPr="0034148C">
        <w:t xml:space="preserve">s to implement </w:t>
      </w:r>
      <w:r w:rsidR="00382C58" w:rsidRPr="0034148C">
        <w:t xml:space="preserve">development initiatives </w:t>
      </w:r>
      <w:r w:rsidRPr="0034148C">
        <w:t xml:space="preserve">that promote improved </w:t>
      </w:r>
      <w:r w:rsidR="00382C58" w:rsidRPr="0034148C">
        <w:t>livelihoods</w:t>
      </w:r>
      <w:r w:rsidRPr="0034148C">
        <w:t xml:space="preserve"> for IDP families</w:t>
      </w:r>
      <w:r w:rsidR="00382C58" w:rsidRPr="0034148C">
        <w:t xml:space="preserve">. </w:t>
      </w:r>
      <w:r w:rsidRPr="0034148C">
        <w:t xml:space="preserve">The income generation components of the project </w:t>
      </w:r>
      <w:r w:rsidR="00382C58" w:rsidRPr="0034148C">
        <w:t>aim to integrate IDPs and local communities to their new environment using socio-economic opportunities to reduce poverty and conflict.</w:t>
      </w:r>
      <w:r w:rsidR="00342AB1" w:rsidRPr="0034148C">
        <w:rPr>
          <w:rFonts w:ascii="Calibri" w:eastAsia="Times New Roman" w:hAnsi="Calibri"/>
        </w:rPr>
        <w:t xml:space="preserve"> </w:t>
      </w:r>
      <w:r w:rsidR="00475419" w:rsidRPr="0034148C">
        <w:t xml:space="preserve">The intention of the strategy is that </w:t>
      </w:r>
      <w:r w:rsidR="00342AB1" w:rsidRPr="0034148C">
        <w:t>IDPs and local community members are involved in joint</w:t>
      </w:r>
      <w:r w:rsidR="00342AB1" w:rsidRPr="0034148C">
        <w:rPr>
          <w:bCs/>
        </w:rPr>
        <w:t xml:space="preserve"> economic activities</w:t>
      </w:r>
      <w:r w:rsidR="00342AB1" w:rsidRPr="0034148C">
        <w:t xml:space="preserve"> that benefit each other in target areas</w:t>
      </w:r>
      <w:r w:rsidR="00475419" w:rsidRPr="0034148C">
        <w:t>.</w:t>
      </w:r>
      <w:r w:rsidR="00382C58" w:rsidRPr="0034148C">
        <w:t xml:space="preserve"> </w:t>
      </w:r>
      <w:r w:rsidR="00750B50" w:rsidRPr="0034148C">
        <w:t xml:space="preserve">There were three main sub-components under income generation: the establishment of agricultural machinery groups, grants to women entrepreneurs, and the grants-for-jobs program. Each </w:t>
      </w:r>
      <w:proofErr w:type="gramStart"/>
      <w:r w:rsidR="00750B50" w:rsidRPr="0034148C">
        <w:t>is evaluated</w:t>
      </w:r>
      <w:proofErr w:type="gramEnd"/>
      <w:r w:rsidR="00750B50" w:rsidRPr="0034148C">
        <w:t xml:space="preserve"> separately below.</w:t>
      </w:r>
    </w:p>
    <w:p w:rsidR="007C33B9" w:rsidRPr="0034148C" w:rsidRDefault="007C33B9" w:rsidP="007C33B9">
      <w:pPr>
        <w:pStyle w:val="Heading2"/>
      </w:pPr>
      <w:bookmarkStart w:id="86" w:name="_Toc338325588"/>
      <w:bookmarkStart w:id="87" w:name="_Toc338572118"/>
      <w:bookmarkStart w:id="88" w:name="_Toc338717129"/>
      <w:bookmarkStart w:id="89" w:name="_Toc338750160"/>
      <w:bookmarkStart w:id="90" w:name="_Toc339368753"/>
      <w:r w:rsidRPr="0034148C">
        <w:t>4.1 Agricultural Machinery Groups</w:t>
      </w:r>
      <w:bookmarkEnd w:id="86"/>
      <w:bookmarkEnd w:id="87"/>
      <w:bookmarkEnd w:id="88"/>
      <w:bookmarkEnd w:id="89"/>
      <w:bookmarkEnd w:id="90"/>
    </w:p>
    <w:p w:rsidR="00441217" w:rsidRPr="0034148C" w:rsidRDefault="00735A67" w:rsidP="007C33B9">
      <w:r w:rsidRPr="0034148C">
        <w:t xml:space="preserve">CARE established a </w:t>
      </w:r>
      <w:r w:rsidR="000E5D82" w:rsidRPr="0034148C">
        <w:t xml:space="preserve">scheme </w:t>
      </w:r>
      <w:r w:rsidR="00667AEA" w:rsidRPr="0034148C">
        <w:t xml:space="preserve">to provide </w:t>
      </w:r>
      <w:r w:rsidR="000E5D82" w:rsidRPr="0034148C">
        <w:t>agricultural machinery</w:t>
      </w:r>
      <w:r w:rsidR="00667AEA" w:rsidRPr="0034148C">
        <w:t xml:space="preserve"> to the IDP settlements and surrounding communities</w:t>
      </w:r>
      <w:r w:rsidR="000E5D82" w:rsidRPr="0034148C">
        <w:t xml:space="preserve">, providing much needed </w:t>
      </w:r>
      <w:r w:rsidR="00441217" w:rsidRPr="0034148C">
        <w:t>resources such as tractors, cultivators, plo</w:t>
      </w:r>
      <w:r w:rsidR="001A045D" w:rsidRPr="0034148C">
        <w:t>w</w:t>
      </w:r>
      <w:r w:rsidR="00441217" w:rsidRPr="0034148C">
        <w:t>s, etc. for farmers. The</w:t>
      </w:r>
      <w:r w:rsidR="00080D06" w:rsidRPr="0034148C">
        <w:t xml:space="preserve"> baseline study found that there</w:t>
      </w:r>
      <w:r w:rsidR="00441217" w:rsidRPr="0034148C">
        <w:t xml:space="preserve"> was a great demand for such machinery in t</w:t>
      </w:r>
      <w:r w:rsidR="005E1416" w:rsidRPr="0034148C">
        <w:t>he communities</w:t>
      </w:r>
      <w:r w:rsidR="001E3AF9">
        <w:t xml:space="preserve">. Before the program, the only machinery available was </w:t>
      </w:r>
      <w:r w:rsidR="00441217" w:rsidRPr="001E3AF9">
        <w:t>some government-funded machinery available for rent in the area</w:t>
      </w:r>
      <w:r w:rsidR="005E1416" w:rsidRPr="001E3AF9">
        <w:t xml:space="preserve"> through local cooperatives</w:t>
      </w:r>
      <w:r w:rsidR="008872B7" w:rsidRPr="001E3AF9">
        <w:t xml:space="preserve"> </w:t>
      </w:r>
      <w:proofErr w:type="gramStart"/>
      <w:r w:rsidR="008872B7" w:rsidRPr="001E3AF9">
        <w:t>and also</w:t>
      </w:r>
      <w:proofErr w:type="gramEnd"/>
      <w:r w:rsidR="008872B7" w:rsidRPr="001E3AF9">
        <w:t xml:space="preserve"> </w:t>
      </w:r>
      <w:r w:rsidR="00DA39E5">
        <w:t xml:space="preserve">some </w:t>
      </w:r>
      <w:r w:rsidR="008872B7" w:rsidRPr="001E3AF9">
        <w:t xml:space="preserve">leftover machinery </w:t>
      </w:r>
      <w:r w:rsidR="00DA39E5">
        <w:t xml:space="preserve">dated </w:t>
      </w:r>
      <w:r w:rsidR="008872B7" w:rsidRPr="001E3AF9">
        <w:t xml:space="preserve">from the </w:t>
      </w:r>
      <w:r w:rsidR="00DA39E5">
        <w:t>S</w:t>
      </w:r>
      <w:r w:rsidR="008872B7" w:rsidRPr="001E3AF9">
        <w:t xml:space="preserve">oviet period, </w:t>
      </w:r>
      <w:r w:rsidR="00DA39E5">
        <w:t xml:space="preserve">both of </w:t>
      </w:r>
      <w:r w:rsidR="008872B7" w:rsidRPr="001E3AF9">
        <w:t xml:space="preserve">which were </w:t>
      </w:r>
      <w:r w:rsidR="00080D06" w:rsidRPr="001E3AF9">
        <w:t>rather old and of poor quality.</w:t>
      </w:r>
      <w:r w:rsidR="005E1416" w:rsidRPr="0034148C">
        <w:t xml:space="preserve"> Local farmers commonly rented rather than bought machinery, and the baseline survey found that demand for agricultural machinery was much higher than that for seed, pesticides or fertilizers.</w:t>
      </w:r>
    </w:p>
    <w:p w:rsidR="003E12CF" w:rsidRPr="0034148C" w:rsidRDefault="00735A67" w:rsidP="007C33B9">
      <w:r w:rsidRPr="0034148C">
        <w:t xml:space="preserve">Community </w:t>
      </w:r>
      <w:r w:rsidR="008872B7" w:rsidRPr="0034148C">
        <w:t xml:space="preserve">members </w:t>
      </w:r>
      <w:r w:rsidR="008872B7">
        <w:t>formed</w:t>
      </w:r>
      <w:r w:rsidR="00A460C0" w:rsidRPr="0034148C">
        <w:t xml:space="preserve"> into small groups of 5-7 members, which were required to include both IDPs and non-IDPs. They submitted a proposal that </w:t>
      </w:r>
      <w:r w:rsidR="00D77D1E" w:rsidRPr="0034148C">
        <w:t xml:space="preserve">outlined the skills of the group, and requested the specific machinery that they thought </w:t>
      </w:r>
      <w:proofErr w:type="gramStart"/>
      <w:r w:rsidR="00D77D1E" w:rsidRPr="0034148C">
        <w:t>was needed</w:t>
      </w:r>
      <w:proofErr w:type="gramEnd"/>
      <w:r w:rsidR="00441217" w:rsidRPr="0034148C">
        <w:t xml:space="preserve"> for their community</w:t>
      </w:r>
      <w:r w:rsidR="00D77D1E" w:rsidRPr="0034148C">
        <w:t xml:space="preserve">. </w:t>
      </w:r>
      <w:r w:rsidR="003E12CF" w:rsidRPr="0034148C">
        <w:t>CARE staff reviewed the proposals for several factors, including that both IDPs and non-IDPs were included in the groups and that there were people in the group with an agricultural background and with mechanical skills. CARE staff often visited the groups to ensure that they had formed naturally</w:t>
      </w:r>
      <w:r w:rsidR="003E12CF" w:rsidRPr="0034148C">
        <w:rPr>
          <w:rFonts w:ascii="Calibri" w:hAnsi="Calibri" w:cs="Calibri"/>
        </w:rPr>
        <w:t>—</w:t>
      </w:r>
      <w:r w:rsidR="003E12CF" w:rsidRPr="0034148C">
        <w:t>that they were people who knew each other and wanted to work together</w:t>
      </w:r>
      <w:r w:rsidR="003E12CF" w:rsidRPr="0034148C">
        <w:rPr>
          <w:rFonts w:ascii="Calibri" w:hAnsi="Calibri" w:cs="Calibri"/>
        </w:rPr>
        <w:t>—</w:t>
      </w:r>
      <w:r w:rsidR="003E12CF" w:rsidRPr="0034148C">
        <w:t>and that they had a commitment to following through with the project objectives.</w:t>
      </w:r>
      <w:r w:rsidR="00A77F5F" w:rsidRPr="0034148C">
        <w:t xml:space="preserve"> </w:t>
      </w:r>
    </w:p>
    <w:p w:rsidR="003E12CF" w:rsidRPr="0034148C" w:rsidRDefault="00A77F5F" w:rsidP="007C33B9">
      <w:r w:rsidRPr="0034148C">
        <w:lastRenderedPageBreak/>
        <w:t xml:space="preserve">The agricultural machinery groups </w:t>
      </w:r>
      <w:proofErr w:type="gramStart"/>
      <w:r w:rsidRPr="0034148C">
        <w:t>were given</w:t>
      </w:r>
      <w:proofErr w:type="gramEnd"/>
      <w:r w:rsidRPr="0034148C">
        <w:t xml:space="preserve"> training in writing a business plan and managing finances</w:t>
      </w:r>
      <w:r w:rsidR="00E25A98" w:rsidRPr="0034148C">
        <w:t>, including taxes</w:t>
      </w:r>
      <w:r w:rsidRPr="0034148C">
        <w:t xml:space="preserve">; they were regularly visited by </w:t>
      </w:r>
      <w:r w:rsidR="00DA39E5">
        <w:t xml:space="preserve">SIIMS project </w:t>
      </w:r>
      <w:r w:rsidRPr="00DA39E5">
        <w:t>staff</w:t>
      </w:r>
      <w:r w:rsidRPr="0034148C">
        <w:t xml:space="preserve"> and given assistance when needed. </w:t>
      </w:r>
      <w:r w:rsidR="00D77D1E" w:rsidRPr="0034148C">
        <w:t xml:space="preserve">While originally the plan was for each group to provide co-financing, this </w:t>
      </w:r>
      <w:proofErr w:type="gramStart"/>
      <w:r w:rsidR="00D77D1E" w:rsidRPr="0034148C">
        <w:t>was not found</w:t>
      </w:r>
      <w:proofErr w:type="gramEnd"/>
      <w:r w:rsidR="00D77D1E" w:rsidRPr="0034148C">
        <w:t xml:space="preserve"> to be viable as the IDP communities had no savings available.</w:t>
      </w:r>
      <w:r w:rsidR="00441217" w:rsidRPr="0034148C">
        <w:t xml:space="preserve"> Instead, nearly a</w:t>
      </w:r>
      <w:r w:rsidR="00D77D1E" w:rsidRPr="0034148C">
        <w:t xml:space="preserve">ll of the groups contributed to the effort by building </w:t>
      </w:r>
      <w:proofErr w:type="gramStart"/>
      <w:r w:rsidR="00D77D1E" w:rsidRPr="0034148C">
        <w:t>a storage</w:t>
      </w:r>
      <w:proofErr w:type="gramEnd"/>
      <w:r w:rsidR="00D77D1E" w:rsidRPr="0034148C">
        <w:t xml:space="preserve"> shed or roof for covering the equipment.</w:t>
      </w:r>
      <w:r w:rsidR="00441217" w:rsidRPr="0034148C">
        <w:t xml:space="preserve"> </w:t>
      </w:r>
      <w:r w:rsidR="000E5D82" w:rsidRPr="0034148C">
        <w:t xml:space="preserve">The </w:t>
      </w:r>
      <w:r w:rsidR="008F52C9" w:rsidRPr="0034148C">
        <w:t xml:space="preserve">program planned to transfer </w:t>
      </w:r>
      <w:r w:rsidR="000E5D82" w:rsidRPr="0034148C">
        <w:t>full ownership of the machinery from CARE to the</w:t>
      </w:r>
      <w:r w:rsidR="008F52C9" w:rsidRPr="0034148C">
        <w:t xml:space="preserve"> groups</w:t>
      </w:r>
      <w:r w:rsidR="000E5D82" w:rsidRPr="0034148C">
        <w:t xml:space="preserve"> once a target number of clients </w:t>
      </w:r>
      <w:proofErr w:type="gramStart"/>
      <w:r w:rsidR="000E5D82" w:rsidRPr="0034148C">
        <w:t>is</w:t>
      </w:r>
      <w:proofErr w:type="gramEnd"/>
      <w:r w:rsidR="000E5D82" w:rsidRPr="0034148C">
        <w:t xml:space="preserve"> served.</w:t>
      </w:r>
    </w:p>
    <w:p w:rsidR="00983C42" w:rsidRPr="0034148C" w:rsidRDefault="00983C42" w:rsidP="00983C42">
      <w:r w:rsidRPr="0034148C">
        <w:t xml:space="preserve">Project outputs as defined in the logical framework were to have at least </w:t>
      </w:r>
      <w:proofErr w:type="gramStart"/>
      <w:r w:rsidRPr="0034148C">
        <w:t>7</w:t>
      </w:r>
      <w:proofErr w:type="gramEnd"/>
      <w:r w:rsidRPr="0034148C">
        <w:t xml:space="preserve"> local agro-service businesses</w:t>
      </w:r>
      <w:r w:rsidR="00701E17" w:rsidRPr="0034148C">
        <w:t xml:space="preserve"> increase the scale of their services</w:t>
      </w:r>
      <w:r w:rsidRPr="0034148C">
        <w:t>, contributing to the specific objective of increasing household incomes by 20%.</w:t>
      </w:r>
    </w:p>
    <w:p w:rsidR="00F633CD" w:rsidRPr="0034148C" w:rsidRDefault="00F633CD" w:rsidP="00F633CD">
      <w:pPr>
        <w:pStyle w:val="Heading3"/>
      </w:pPr>
      <w:bookmarkStart w:id="91" w:name="_Toc338572119"/>
      <w:bookmarkStart w:id="92" w:name="_Toc338717130"/>
      <w:bookmarkStart w:id="93" w:name="_Toc338750161"/>
      <w:bookmarkStart w:id="94" w:name="_Toc339368754"/>
      <w:r w:rsidRPr="0034148C">
        <w:t>4.1.1 Achievements of the program</w:t>
      </w:r>
      <w:bookmarkEnd w:id="91"/>
      <w:bookmarkEnd w:id="92"/>
      <w:bookmarkEnd w:id="93"/>
      <w:bookmarkEnd w:id="94"/>
    </w:p>
    <w:p w:rsidR="001D351B" w:rsidRPr="0034148C" w:rsidRDefault="001D351B" w:rsidP="001D351B">
      <w:r w:rsidRPr="0034148C">
        <w:t xml:space="preserve">The one-year evaluation of the agricultural machinery component noted that </w:t>
      </w:r>
      <w:proofErr w:type="gramStart"/>
      <w:r w:rsidRPr="0034148C">
        <w:t>3</w:t>
      </w:r>
      <w:proofErr w:type="gramEnd"/>
      <w:r w:rsidRPr="0034148C">
        <w:t xml:space="preserve"> of the 7 businesses had been established and appeared to be running well</w:t>
      </w:r>
      <w:r w:rsidR="00FC147C">
        <w:t xml:space="preserve"> (Jafarli, 2010)</w:t>
      </w:r>
      <w:r w:rsidRPr="0034148C">
        <w:t>. It recommended that the project purchase some mini-tractors that would be more cost-effective for use on small land parcels.</w:t>
      </w:r>
    </w:p>
    <w:p w:rsidR="00AA7EC8" w:rsidRPr="0034148C" w:rsidRDefault="008F52C9" w:rsidP="007C33B9">
      <w:r w:rsidRPr="0034148C">
        <w:t xml:space="preserve">By the end of the project period, nine agricultural machinery groups </w:t>
      </w:r>
      <w:proofErr w:type="gramStart"/>
      <w:r w:rsidRPr="0034148C">
        <w:t>had been formed</w:t>
      </w:r>
      <w:proofErr w:type="gramEnd"/>
      <w:r w:rsidRPr="0034148C">
        <w:t xml:space="preserve">. </w:t>
      </w:r>
      <w:r w:rsidR="00FE1972" w:rsidRPr="0034148C">
        <w:t xml:space="preserve">Table 4.1.1 summarizes the achievements of the program by all nine groups by the end of the project period. </w:t>
      </w:r>
      <w:r w:rsidR="00AA7EC8" w:rsidRPr="0034148C">
        <w:t xml:space="preserve">In </w:t>
      </w:r>
      <w:r w:rsidR="00155314" w:rsidRPr="0034148C">
        <w:t>total,</w:t>
      </w:r>
      <w:r w:rsidR="00AA7EC8" w:rsidRPr="0034148C">
        <w:t xml:space="preserve"> the groups included 44 members; the smallest groups had </w:t>
      </w:r>
      <w:proofErr w:type="gramStart"/>
      <w:r w:rsidR="00AA7EC8" w:rsidRPr="0034148C">
        <w:t>4</w:t>
      </w:r>
      <w:proofErr w:type="gramEnd"/>
      <w:r w:rsidR="00AA7EC8" w:rsidRPr="0034148C">
        <w:t xml:space="preserve"> members and the largest had 7, with an average of 4.9 per group. Three of the groups had been in operation for 26 months by the end of the project period, while the newest group had only started two months before the end of the period. The total outlay for the agricultural machinery was $405,698; the average amount per group was about $45,000.</w:t>
      </w:r>
    </w:p>
    <w:p w:rsidR="00FE1972" w:rsidRPr="0034148C" w:rsidRDefault="00AA7EC8" w:rsidP="007C33B9">
      <w:r w:rsidRPr="0034148C">
        <w:t xml:space="preserve">The table shows the amount of land cultivated by the groups and the number of beneficiaries: in total, over </w:t>
      </w:r>
      <w:r w:rsidR="00284D71" w:rsidRPr="0034148C">
        <w:t>3,000 farmers made use of the agricultural machinery groups. IDPs constituted about 59% of these beneficiaries, though since they own smaller plots of land the amount of land cultivated for IDPs is smaller than that for commercial customers (local farmers).</w:t>
      </w:r>
      <w:r w:rsidRPr="0034148C">
        <w:t xml:space="preserve"> </w:t>
      </w:r>
      <w:r w:rsidR="008A3532" w:rsidRPr="0034148C">
        <w:t>Service costs for commercial customers per hectare were more than twice that for IDPs ($599 vs. $215);</w:t>
      </w:r>
      <w:r w:rsidR="003E12CF" w:rsidRPr="0034148C">
        <w:t xml:space="preserve"> IDPs </w:t>
      </w:r>
      <w:proofErr w:type="gramStart"/>
      <w:r w:rsidR="003E12CF" w:rsidRPr="0034148C">
        <w:t>are only asked</w:t>
      </w:r>
      <w:proofErr w:type="gramEnd"/>
      <w:r w:rsidR="003E12CF" w:rsidRPr="0034148C">
        <w:t xml:space="preserve"> to pay fuel costs for processing the land. I</w:t>
      </w:r>
      <w:r w:rsidR="008A3532" w:rsidRPr="0034148C">
        <w:t xml:space="preserve">t </w:t>
      </w:r>
      <w:proofErr w:type="gramStart"/>
      <w:r w:rsidR="008A3532" w:rsidRPr="0034148C">
        <w:t>should be remembered</w:t>
      </w:r>
      <w:proofErr w:type="gramEnd"/>
      <w:r w:rsidR="008A3532" w:rsidRPr="0034148C">
        <w:t xml:space="preserve"> however that this figure summarizes costs for different types of</w:t>
      </w:r>
      <w:r w:rsidR="00AB7EFF" w:rsidRPr="0034148C">
        <w:t xml:space="preserve"> processing.</w:t>
      </w:r>
    </w:p>
    <w:p w:rsidR="00714888" w:rsidRPr="0034148C" w:rsidRDefault="00714888" w:rsidP="00714888">
      <w:bookmarkStart w:id="95" w:name="_Toc338572011"/>
      <w:r w:rsidRPr="0034148C">
        <w:t xml:space="preserve">The total amount of income taken in by the groups was $72,922, about $8,000 per group. When costs for fuel, machinery maintenance, payroll and other costs </w:t>
      </w:r>
      <w:proofErr w:type="gramStart"/>
      <w:r w:rsidRPr="0034148C">
        <w:t>are deducted</w:t>
      </w:r>
      <w:proofErr w:type="gramEnd"/>
      <w:r w:rsidRPr="0034148C">
        <w:t>, the groups had a net income of nearly $15,000 total, an average of $1,641 per group. Each group placed all of their net income into an organizational development fund for future investment.</w:t>
      </w:r>
    </w:p>
    <w:p w:rsidR="00714888" w:rsidRPr="0034148C" w:rsidRDefault="00714888" w:rsidP="00714888">
      <w:r w:rsidRPr="0034148C">
        <w:t xml:space="preserve">The monitoring data shows that the groups were able to make a net profit while maintaining the machinery and paying salaries to members of the group. Costs are reasonable and it appears that the groups are doing a good job of accounting for their income and costs. While the main objective of the project is to raise incomes for IDP and local farmers, the fact that all of the groups were able to make a net profit </w:t>
      </w:r>
      <w:r w:rsidR="00453411">
        <w:t>and to raise incomes for those in the group</w:t>
      </w:r>
      <w:r w:rsidR="00DA7C2B">
        <w:t xml:space="preserve"> through paying salaries to them </w:t>
      </w:r>
      <w:r w:rsidRPr="0034148C">
        <w:t>has very positive implications for the groups’ sustainability.</w:t>
      </w:r>
    </w:p>
    <w:p w:rsidR="00FE1972" w:rsidRPr="0034148C" w:rsidRDefault="00FE1972" w:rsidP="00FE1972">
      <w:pPr>
        <w:pStyle w:val="Heading4"/>
      </w:pPr>
      <w:bookmarkStart w:id="96" w:name="_Toc338717192"/>
      <w:bookmarkStart w:id="97" w:name="_Toc338750266"/>
      <w:bookmarkStart w:id="98" w:name="_Toc339368878"/>
      <w:r w:rsidRPr="0034148C">
        <w:lastRenderedPageBreak/>
        <w:t>Table 4.1.1 Summary data from the Agricultural Machinery program across nine groups</w:t>
      </w:r>
      <w:bookmarkEnd w:id="95"/>
      <w:bookmarkEnd w:id="96"/>
      <w:bookmarkEnd w:id="97"/>
      <w:bookmarkEnd w:id="98"/>
    </w:p>
    <w:tbl>
      <w:tblPr>
        <w:tblW w:w="5000"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8"/>
        <w:gridCol w:w="1252"/>
        <w:gridCol w:w="1252"/>
        <w:gridCol w:w="1252"/>
        <w:gridCol w:w="1252"/>
      </w:tblGrid>
      <w:tr w:rsidR="00AB7EFF" w:rsidRPr="0034148C" w:rsidTr="002A2635">
        <w:trPr>
          <w:trHeight w:val="432"/>
        </w:trPr>
        <w:tc>
          <w:tcPr>
            <w:tcW w:w="4568" w:type="dxa"/>
            <w:vMerge w:val="restart"/>
            <w:shd w:val="clear" w:color="auto" w:fill="auto"/>
            <w:vAlign w:val="center"/>
            <w:hideMark/>
          </w:tcPr>
          <w:p w:rsidR="00AB7EFF" w:rsidRPr="0034148C" w:rsidRDefault="00AB7EFF" w:rsidP="00400649">
            <w:pPr>
              <w:spacing w:after="0" w:line="240" w:lineRule="auto"/>
              <w:jc w:val="left"/>
              <w:rPr>
                <w:rFonts w:asciiTheme="minorHAnsi" w:eastAsia="Times New Roman" w:hAnsiTheme="minorHAnsi" w:cstheme="minorHAnsi"/>
                <w:b/>
                <w:bCs/>
                <w:color w:val="000000"/>
                <w:sz w:val="20"/>
                <w:szCs w:val="20"/>
                <w:lang w:bidi="th-TH"/>
              </w:rPr>
            </w:pPr>
          </w:p>
        </w:tc>
        <w:tc>
          <w:tcPr>
            <w:tcW w:w="1252" w:type="dxa"/>
            <w:vMerge w:val="restart"/>
            <w:shd w:val="clear" w:color="auto" w:fill="auto"/>
            <w:noWrap/>
            <w:vAlign w:val="bottom"/>
            <w:hideMark/>
          </w:tcPr>
          <w:p w:rsidR="00AB7EFF" w:rsidRPr="0034148C" w:rsidRDefault="00AB7EFF" w:rsidP="002A2635">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Total for the program</w:t>
            </w:r>
          </w:p>
        </w:tc>
        <w:tc>
          <w:tcPr>
            <w:tcW w:w="1252" w:type="dxa"/>
            <w:vMerge w:val="restart"/>
            <w:shd w:val="clear" w:color="auto" w:fill="auto"/>
            <w:noWrap/>
            <w:vAlign w:val="bottom"/>
            <w:hideMark/>
          </w:tcPr>
          <w:p w:rsidR="00AB7EFF" w:rsidRPr="0034148C" w:rsidRDefault="00AB7EFF" w:rsidP="002A2635">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Average per group</w:t>
            </w:r>
          </w:p>
        </w:tc>
        <w:tc>
          <w:tcPr>
            <w:tcW w:w="2504" w:type="dxa"/>
            <w:gridSpan w:val="2"/>
            <w:shd w:val="clear" w:color="auto" w:fill="auto"/>
            <w:noWrap/>
            <w:vAlign w:val="bottom"/>
            <w:hideMark/>
          </w:tcPr>
          <w:p w:rsidR="00AB7EFF" w:rsidRPr="0034148C" w:rsidRDefault="00AB7EFF" w:rsidP="002A2635">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By type of customer</w:t>
            </w:r>
          </w:p>
        </w:tc>
      </w:tr>
      <w:tr w:rsidR="00AB7EFF" w:rsidRPr="0034148C" w:rsidTr="002A2635">
        <w:trPr>
          <w:trHeight w:val="432"/>
        </w:trPr>
        <w:tc>
          <w:tcPr>
            <w:tcW w:w="4568" w:type="dxa"/>
            <w:vMerge/>
            <w:shd w:val="clear" w:color="auto" w:fill="auto"/>
            <w:vAlign w:val="center"/>
            <w:hideMark/>
          </w:tcPr>
          <w:p w:rsidR="00AB7EFF" w:rsidRPr="0034148C" w:rsidRDefault="00AB7EFF" w:rsidP="00400649">
            <w:pPr>
              <w:spacing w:after="0" w:line="240" w:lineRule="auto"/>
              <w:jc w:val="left"/>
              <w:rPr>
                <w:rFonts w:asciiTheme="minorHAnsi" w:eastAsia="Times New Roman" w:hAnsiTheme="minorHAnsi" w:cstheme="minorHAnsi"/>
                <w:b/>
                <w:bCs/>
                <w:color w:val="000000"/>
                <w:sz w:val="20"/>
                <w:szCs w:val="20"/>
                <w:lang w:bidi="th-TH"/>
              </w:rPr>
            </w:pPr>
          </w:p>
        </w:tc>
        <w:tc>
          <w:tcPr>
            <w:tcW w:w="1252" w:type="dxa"/>
            <w:vMerge/>
            <w:shd w:val="clear" w:color="auto" w:fill="auto"/>
            <w:noWrap/>
            <w:vAlign w:val="bottom"/>
            <w:hideMark/>
          </w:tcPr>
          <w:p w:rsidR="00AB7EFF" w:rsidRPr="0034148C" w:rsidRDefault="00AB7EFF" w:rsidP="002A2635">
            <w:pPr>
              <w:spacing w:after="0" w:line="240" w:lineRule="auto"/>
              <w:jc w:val="center"/>
              <w:rPr>
                <w:rFonts w:asciiTheme="minorHAnsi" w:eastAsia="Times New Roman" w:hAnsiTheme="minorHAnsi" w:cstheme="minorHAnsi"/>
                <w:b/>
                <w:bCs/>
                <w:sz w:val="20"/>
                <w:szCs w:val="20"/>
                <w:lang w:bidi="th-TH"/>
              </w:rPr>
            </w:pPr>
          </w:p>
        </w:tc>
        <w:tc>
          <w:tcPr>
            <w:tcW w:w="1252" w:type="dxa"/>
            <w:vMerge/>
            <w:shd w:val="clear" w:color="auto" w:fill="auto"/>
            <w:noWrap/>
            <w:vAlign w:val="bottom"/>
            <w:hideMark/>
          </w:tcPr>
          <w:p w:rsidR="00AB7EFF" w:rsidRPr="0034148C" w:rsidRDefault="00AB7EFF" w:rsidP="002A2635">
            <w:pPr>
              <w:spacing w:after="0" w:line="240" w:lineRule="auto"/>
              <w:jc w:val="center"/>
              <w:rPr>
                <w:rFonts w:asciiTheme="minorHAnsi" w:eastAsia="Times New Roman" w:hAnsiTheme="minorHAnsi" w:cstheme="minorHAnsi"/>
                <w:b/>
                <w:bCs/>
                <w:sz w:val="20"/>
                <w:szCs w:val="20"/>
                <w:lang w:bidi="th-TH"/>
              </w:rPr>
            </w:pPr>
          </w:p>
        </w:tc>
        <w:tc>
          <w:tcPr>
            <w:tcW w:w="1252" w:type="dxa"/>
            <w:shd w:val="clear" w:color="auto" w:fill="auto"/>
            <w:noWrap/>
            <w:vAlign w:val="bottom"/>
            <w:hideMark/>
          </w:tcPr>
          <w:p w:rsidR="00AB7EFF" w:rsidRPr="0034148C" w:rsidRDefault="00AB7EFF" w:rsidP="002A2635">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Commercial customers</w:t>
            </w:r>
          </w:p>
        </w:tc>
        <w:tc>
          <w:tcPr>
            <w:tcW w:w="1252" w:type="dxa"/>
            <w:shd w:val="clear" w:color="auto" w:fill="auto"/>
            <w:noWrap/>
            <w:vAlign w:val="bottom"/>
            <w:hideMark/>
          </w:tcPr>
          <w:p w:rsidR="00AB7EFF" w:rsidRPr="0034148C" w:rsidRDefault="00AB7EFF" w:rsidP="002A2635">
            <w:pPr>
              <w:spacing w:after="0" w:line="240" w:lineRule="auto"/>
              <w:jc w:val="center"/>
              <w:rPr>
                <w:rFonts w:asciiTheme="minorHAnsi" w:eastAsia="Times New Roman" w:hAnsiTheme="minorHAnsi" w:cstheme="minorHAnsi"/>
                <w:b/>
                <w:bCs/>
                <w:sz w:val="20"/>
                <w:szCs w:val="20"/>
                <w:lang w:bidi="th-TH"/>
              </w:rPr>
            </w:pPr>
          </w:p>
        </w:tc>
      </w:tr>
      <w:tr w:rsidR="008F52C9" w:rsidRPr="0034148C" w:rsidTr="00AB7EFF">
        <w:trPr>
          <w:trHeight w:val="432"/>
        </w:trPr>
        <w:tc>
          <w:tcPr>
            <w:tcW w:w="4568" w:type="dxa"/>
            <w:shd w:val="clear" w:color="auto" w:fill="auto"/>
            <w:vAlign w:val="center"/>
            <w:hideMark/>
          </w:tcPr>
          <w:p w:rsidR="008F52C9" w:rsidRPr="0034148C" w:rsidRDefault="008F52C9" w:rsidP="00400649">
            <w:pPr>
              <w:spacing w:after="0" w:line="240" w:lineRule="auto"/>
              <w:jc w:val="left"/>
              <w:rPr>
                <w:rFonts w:asciiTheme="minorHAnsi" w:eastAsia="Times New Roman" w:hAnsiTheme="minorHAnsi" w:cstheme="minorHAnsi"/>
                <w:b/>
                <w:bCs/>
                <w:color w:val="000000"/>
                <w:sz w:val="20"/>
                <w:szCs w:val="20"/>
                <w:lang w:bidi="th-TH"/>
              </w:rPr>
            </w:pPr>
            <w:r w:rsidRPr="0034148C">
              <w:rPr>
                <w:rFonts w:asciiTheme="minorHAnsi" w:eastAsia="Times New Roman" w:hAnsiTheme="minorHAnsi" w:cstheme="minorHAnsi"/>
                <w:b/>
                <w:bCs/>
                <w:color w:val="000000"/>
                <w:sz w:val="20"/>
                <w:szCs w:val="20"/>
                <w:lang w:bidi="th-TH"/>
              </w:rPr>
              <w:t>Characteristics of the groups</w:t>
            </w:r>
          </w:p>
        </w:tc>
        <w:tc>
          <w:tcPr>
            <w:tcW w:w="1252" w:type="dxa"/>
            <w:shd w:val="clear" w:color="auto" w:fill="auto"/>
            <w:noWrap/>
            <w:vAlign w:val="center"/>
            <w:hideMark/>
          </w:tcPr>
          <w:p w:rsidR="008F52C9" w:rsidRPr="0034148C" w:rsidRDefault="008F52C9"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8F52C9" w:rsidRPr="0034148C" w:rsidRDefault="008F52C9"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8F52C9" w:rsidRPr="0034148C" w:rsidRDefault="008F52C9"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8F52C9" w:rsidRPr="0034148C" w:rsidRDefault="008F52C9" w:rsidP="00400649">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FE1972" w:rsidP="00400649">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 xml:space="preserve">Number of </w:t>
            </w:r>
            <w:r w:rsidR="00400649" w:rsidRPr="0034148C">
              <w:rPr>
                <w:rFonts w:asciiTheme="minorHAnsi" w:eastAsia="Times New Roman" w:hAnsiTheme="minorHAnsi" w:cstheme="minorHAnsi"/>
                <w:color w:val="000000"/>
                <w:sz w:val="20"/>
                <w:szCs w:val="20"/>
                <w:lang w:bidi="th-TH"/>
              </w:rPr>
              <w:t>g</w:t>
            </w:r>
            <w:r w:rsidRPr="0034148C">
              <w:rPr>
                <w:rFonts w:asciiTheme="minorHAnsi" w:eastAsia="Times New Roman" w:hAnsiTheme="minorHAnsi" w:cstheme="minorHAnsi"/>
                <w:color w:val="000000"/>
                <w:sz w:val="20"/>
                <w:szCs w:val="20"/>
                <w:lang w:bidi="th-TH"/>
              </w:rPr>
              <w:t xml:space="preserve">roup </w:t>
            </w:r>
            <w:r w:rsidR="00400649" w:rsidRPr="0034148C">
              <w:rPr>
                <w:rFonts w:asciiTheme="minorHAnsi" w:eastAsia="Times New Roman" w:hAnsiTheme="minorHAnsi" w:cstheme="minorHAnsi"/>
                <w:color w:val="000000"/>
                <w:sz w:val="20"/>
                <w:szCs w:val="20"/>
                <w:lang w:bidi="th-TH"/>
              </w:rPr>
              <w:t>m</w:t>
            </w:r>
            <w:r w:rsidRPr="0034148C">
              <w:rPr>
                <w:rFonts w:asciiTheme="minorHAnsi" w:eastAsia="Times New Roman" w:hAnsiTheme="minorHAnsi" w:cstheme="minorHAnsi"/>
                <w:color w:val="000000"/>
                <w:sz w:val="20"/>
                <w:szCs w:val="20"/>
                <w:lang w:bidi="th-TH"/>
              </w:rPr>
              <w:t>embers</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44</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4.9</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FE1972" w:rsidP="00400649">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Number of months in operation</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168</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18.7</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400649" w:rsidP="00400649">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Total cost</w:t>
            </w:r>
            <w:r w:rsidR="00FE1972" w:rsidRPr="0034148C">
              <w:rPr>
                <w:rFonts w:asciiTheme="minorHAnsi" w:eastAsia="Times New Roman" w:hAnsiTheme="minorHAnsi" w:cstheme="minorHAnsi"/>
                <w:color w:val="000000"/>
                <w:sz w:val="20"/>
                <w:szCs w:val="20"/>
                <w:lang w:bidi="th-TH"/>
              </w:rPr>
              <w:t xml:space="preserve"> of Machinery</w:t>
            </w:r>
            <w:r w:rsidR="008F52C9" w:rsidRPr="0034148C">
              <w:rPr>
                <w:rFonts w:asciiTheme="minorHAnsi" w:eastAsia="Times New Roman" w:hAnsiTheme="minorHAnsi" w:cstheme="minorHAnsi"/>
                <w:color w:val="000000"/>
                <w:sz w:val="20"/>
                <w:szCs w:val="20"/>
                <w:lang w:bidi="th-TH"/>
              </w:rPr>
              <w:t xml:space="preserve"> purchased</w:t>
            </w:r>
            <w:r w:rsidR="00FE1972" w:rsidRPr="0034148C">
              <w:rPr>
                <w:rFonts w:asciiTheme="minorHAnsi" w:eastAsia="Times New Roman" w:hAnsiTheme="minorHAnsi" w:cstheme="minorHAnsi"/>
                <w:color w:val="000000"/>
                <w:sz w:val="20"/>
                <w:szCs w:val="20"/>
                <w:lang w:bidi="th-TH"/>
              </w:rPr>
              <w:t xml:space="preserve"> (USD)</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 xml:space="preserve"> </w:t>
            </w:r>
            <w:r w:rsidR="00491BE0" w:rsidRPr="0034148C">
              <w:rPr>
                <w:rFonts w:asciiTheme="minorHAnsi" w:eastAsia="Times New Roman" w:hAnsiTheme="minorHAnsi" w:cstheme="minorHAnsi"/>
                <w:sz w:val="20"/>
                <w:szCs w:val="20"/>
                <w:lang w:bidi="th-TH"/>
              </w:rPr>
              <w:t>$</w:t>
            </w:r>
            <w:r w:rsidRPr="0034148C">
              <w:rPr>
                <w:rFonts w:asciiTheme="minorHAnsi" w:eastAsia="Times New Roman" w:hAnsiTheme="minorHAnsi" w:cstheme="minorHAnsi"/>
                <w:sz w:val="20"/>
                <w:szCs w:val="20"/>
                <w:lang w:bidi="th-TH"/>
              </w:rPr>
              <w:t xml:space="preserve">405,698 </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45</w:t>
            </w:r>
            <w:r w:rsidR="008F52C9"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078</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r>
      <w:tr w:rsidR="004D27CB" w:rsidRPr="0034148C" w:rsidTr="00AB7EFF">
        <w:trPr>
          <w:trHeight w:val="432"/>
        </w:trPr>
        <w:tc>
          <w:tcPr>
            <w:tcW w:w="4568" w:type="dxa"/>
            <w:shd w:val="clear" w:color="auto" w:fill="auto"/>
            <w:vAlign w:val="center"/>
            <w:hideMark/>
          </w:tcPr>
          <w:p w:rsidR="004D27CB" w:rsidRPr="0034148C" w:rsidRDefault="004D27CB" w:rsidP="00400649">
            <w:pPr>
              <w:spacing w:after="0" w:line="240" w:lineRule="auto"/>
              <w:jc w:val="left"/>
              <w:rPr>
                <w:rFonts w:asciiTheme="minorHAnsi" w:eastAsia="Times New Roman" w:hAnsiTheme="minorHAnsi" w:cstheme="minorHAnsi"/>
                <w:b/>
                <w:bCs/>
                <w:color w:val="000000"/>
                <w:sz w:val="20"/>
                <w:szCs w:val="20"/>
                <w:lang w:bidi="th-TH"/>
              </w:rPr>
            </w:pPr>
            <w:r w:rsidRPr="0034148C">
              <w:rPr>
                <w:rFonts w:asciiTheme="minorHAnsi" w:eastAsia="Times New Roman" w:hAnsiTheme="minorHAnsi" w:cstheme="minorHAnsi"/>
                <w:b/>
                <w:bCs/>
                <w:color w:val="000000"/>
                <w:sz w:val="20"/>
                <w:szCs w:val="20"/>
                <w:lang w:bidi="th-TH"/>
              </w:rPr>
              <w:t>Achievements</w:t>
            </w:r>
          </w:p>
        </w:tc>
        <w:tc>
          <w:tcPr>
            <w:tcW w:w="1252" w:type="dxa"/>
            <w:shd w:val="clear" w:color="auto" w:fill="auto"/>
            <w:noWrap/>
            <w:vAlign w:val="center"/>
            <w:hideMark/>
          </w:tcPr>
          <w:p w:rsidR="004D27CB" w:rsidRPr="0034148C" w:rsidRDefault="004D27CB"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4D27CB" w:rsidRPr="0034148C" w:rsidRDefault="004D27CB"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4D27CB" w:rsidRPr="0034148C" w:rsidRDefault="004D27CB"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4D27CB" w:rsidRPr="0034148C" w:rsidRDefault="004D27CB" w:rsidP="00400649">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4D27CB" w:rsidP="004D27CB">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 xml:space="preserve">Amount of land </w:t>
            </w:r>
            <w:r w:rsidR="00FE1972" w:rsidRPr="0034148C">
              <w:rPr>
                <w:rFonts w:asciiTheme="minorHAnsi" w:eastAsia="Times New Roman" w:hAnsiTheme="minorHAnsi" w:cstheme="minorHAnsi"/>
                <w:color w:val="000000"/>
                <w:sz w:val="20"/>
                <w:szCs w:val="20"/>
                <w:lang w:bidi="th-TH"/>
              </w:rPr>
              <w:t>cultivated (0.1 ha)</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r w:rsidR="004D27CB" w:rsidRPr="0034148C">
              <w:rPr>
                <w:rFonts w:asciiTheme="minorHAnsi" w:eastAsia="Times New Roman" w:hAnsiTheme="minorHAnsi" w:cstheme="minorHAnsi"/>
                <w:sz w:val="20"/>
                <w:szCs w:val="20"/>
                <w:lang w:bidi="th-TH"/>
              </w:rPr>
              <w:t>,</w:t>
            </w:r>
            <w:r w:rsidRPr="0034148C">
              <w:rPr>
                <w:rFonts w:asciiTheme="minorHAnsi" w:eastAsia="Times New Roman" w:hAnsiTheme="minorHAnsi" w:cstheme="minorHAnsi"/>
                <w:sz w:val="20"/>
                <w:szCs w:val="20"/>
                <w:lang w:bidi="th-TH"/>
              </w:rPr>
              <w:t>773</w:t>
            </w:r>
          </w:p>
        </w:tc>
        <w:tc>
          <w:tcPr>
            <w:tcW w:w="1252" w:type="dxa"/>
            <w:shd w:val="clear" w:color="auto" w:fill="auto"/>
            <w:noWrap/>
            <w:vAlign w:val="center"/>
            <w:hideMark/>
          </w:tcPr>
          <w:p w:rsidR="00FE1972" w:rsidRPr="0034148C" w:rsidRDefault="00FE1972" w:rsidP="004D27CB">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308</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w:t>
            </w:r>
            <w:r w:rsidR="004D27CB" w:rsidRPr="0034148C">
              <w:rPr>
                <w:rFonts w:asciiTheme="minorHAnsi" w:eastAsia="Times New Roman" w:hAnsiTheme="minorHAnsi" w:cstheme="minorHAnsi"/>
                <w:sz w:val="20"/>
                <w:szCs w:val="20"/>
                <w:lang w:bidi="th-TH"/>
              </w:rPr>
              <w:t>,</w:t>
            </w:r>
            <w:r w:rsidRPr="0034148C">
              <w:rPr>
                <w:rFonts w:asciiTheme="minorHAnsi" w:eastAsia="Times New Roman" w:hAnsiTheme="minorHAnsi" w:cstheme="minorHAnsi"/>
                <w:sz w:val="20"/>
                <w:szCs w:val="20"/>
                <w:lang w:bidi="th-TH"/>
              </w:rPr>
              <w:t>843</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930</w:t>
            </w:r>
          </w:p>
        </w:tc>
      </w:tr>
      <w:tr w:rsidR="004D27CB" w:rsidRPr="0034148C" w:rsidTr="00AB7EFF">
        <w:trPr>
          <w:trHeight w:val="432"/>
        </w:trPr>
        <w:tc>
          <w:tcPr>
            <w:tcW w:w="4568" w:type="dxa"/>
            <w:shd w:val="clear" w:color="auto" w:fill="auto"/>
            <w:vAlign w:val="center"/>
            <w:hideMark/>
          </w:tcPr>
          <w:p w:rsidR="004D27CB" w:rsidRPr="0034148C" w:rsidRDefault="004D27CB" w:rsidP="004D27CB">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 xml:space="preserve">Number of beneficiaries </w:t>
            </w:r>
          </w:p>
        </w:tc>
        <w:tc>
          <w:tcPr>
            <w:tcW w:w="1252" w:type="dxa"/>
            <w:shd w:val="clear" w:color="auto" w:fill="auto"/>
            <w:noWrap/>
            <w:vAlign w:val="center"/>
            <w:hideMark/>
          </w:tcPr>
          <w:p w:rsidR="004D27CB" w:rsidRPr="0034148C" w:rsidRDefault="004D27CB" w:rsidP="004D27CB">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3,278</w:t>
            </w:r>
          </w:p>
        </w:tc>
        <w:tc>
          <w:tcPr>
            <w:tcW w:w="1252" w:type="dxa"/>
            <w:shd w:val="clear" w:color="auto" w:fill="auto"/>
            <w:noWrap/>
            <w:vAlign w:val="center"/>
            <w:hideMark/>
          </w:tcPr>
          <w:p w:rsidR="004D27CB" w:rsidRPr="0034148C" w:rsidRDefault="004D27CB" w:rsidP="004D27CB">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364</w:t>
            </w:r>
          </w:p>
        </w:tc>
        <w:tc>
          <w:tcPr>
            <w:tcW w:w="1252" w:type="dxa"/>
            <w:shd w:val="clear" w:color="auto" w:fill="auto"/>
            <w:noWrap/>
            <w:vAlign w:val="center"/>
            <w:hideMark/>
          </w:tcPr>
          <w:p w:rsidR="004D27CB" w:rsidRPr="0034148C" w:rsidRDefault="004D27CB" w:rsidP="004D27CB">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1,341</w:t>
            </w:r>
          </w:p>
        </w:tc>
        <w:tc>
          <w:tcPr>
            <w:tcW w:w="1252" w:type="dxa"/>
            <w:shd w:val="clear" w:color="auto" w:fill="auto"/>
            <w:noWrap/>
            <w:vAlign w:val="center"/>
            <w:hideMark/>
          </w:tcPr>
          <w:p w:rsidR="004D27CB" w:rsidRPr="0034148C" w:rsidRDefault="004D27CB" w:rsidP="004D27CB">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1,937</w:t>
            </w:r>
          </w:p>
        </w:tc>
      </w:tr>
      <w:tr w:rsidR="008A3532" w:rsidRPr="0034148C" w:rsidTr="00AB7EFF">
        <w:trPr>
          <w:trHeight w:val="432"/>
        </w:trPr>
        <w:tc>
          <w:tcPr>
            <w:tcW w:w="4568" w:type="dxa"/>
            <w:shd w:val="clear" w:color="auto" w:fill="auto"/>
            <w:vAlign w:val="center"/>
            <w:hideMark/>
          </w:tcPr>
          <w:p w:rsidR="008A3532" w:rsidRPr="0034148C" w:rsidRDefault="008A3532" w:rsidP="002A2635">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Average service cost (USD per hectare)</w:t>
            </w:r>
          </w:p>
        </w:tc>
        <w:tc>
          <w:tcPr>
            <w:tcW w:w="1252" w:type="dxa"/>
            <w:shd w:val="clear" w:color="auto" w:fill="auto"/>
            <w:noWrap/>
            <w:vAlign w:val="center"/>
            <w:hideMark/>
          </w:tcPr>
          <w:p w:rsidR="008A3532" w:rsidRPr="0034148C" w:rsidRDefault="008A3532" w:rsidP="002A2635">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p>
        </w:tc>
        <w:tc>
          <w:tcPr>
            <w:tcW w:w="1252" w:type="dxa"/>
            <w:shd w:val="clear" w:color="auto" w:fill="auto"/>
            <w:noWrap/>
            <w:vAlign w:val="center"/>
            <w:hideMark/>
          </w:tcPr>
          <w:p w:rsidR="008A3532" w:rsidRPr="0034148C" w:rsidRDefault="008A3532" w:rsidP="002A2635">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p>
        </w:tc>
        <w:tc>
          <w:tcPr>
            <w:tcW w:w="1252" w:type="dxa"/>
            <w:shd w:val="clear" w:color="auto" w:fill="auto"/>
            <w:noWrap/>
            <w:vAlign w:val="center"/>
            <w:hideMark/>
          </w:tcPr>
          <w:p w:rsidR="008A3532" w:rsidRPr="0034148C" w:rsidRDefault="008A3532" w:rsidP="002A2635">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$598.86</w:t>
            </w:r>
          </w:p>
        </w:tc>
        <w:tc>
          <w:tcPr>
            <w:tcW w:w="1252" w:type="dxa"/>
            <w:shd w:val="clear" w:color="auto" w:fill="auto"/>
            <w:noWrap/>
            <w:vAlign w:val="center"/>
            <w:hideMark/>
          </w:tcPr>
          <w:p w:rsidR="008A3532" w:rsidRPr="0034148C" w:rsidRDefault="008A3532" w:rsidP="002A2635">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$215.73</w:t>
            </w:r>
          </w:p>
        </w:tc>
      </w:tr>
      <w:tr w:rsidR="004D27CB" w:rsidRPr="0034148C" w:rsidTr="00AB7EFF">
        <w:trPr>
          <w:trHeight w:val="432"/>
        </w:trPr>
        <w:tc>
          <w:tcPr>
            <w:tcW w:w="4568" w:type="dxa"/>
            <w:shd w:val="clear" w:color="auto" w:fill="auto"/>
            <w:vAlign w:val="center"/>
            <w:hideMark/>
          </w:tcPr>
          <w:p w:rsidR="004D27CB" w:rsidRPr="0034148C" w:rsidRDefault="004D27CB" w:rsidP="00400649">
            <w:pPr>
              <w:spacing w:after="0" w:line="240" w:lineRule="auto"/>
              <w:jc w:val="left"/>
              <w:rPr>
                <w:rFonts w:asciiTheme="minorHAnsi" w:eastAsia="Times New Roman" w:hAnsiTheme="minorHAnsi" w:cstheme="minorHAnsi"/>
                <w:b/>
                <w:bCs/>
                <w:color w:val="000000"/>
                <w:sz w:val="20"/>
                <w:szCs w:val="20"/>
                <w:lang w:bidi="th-TH"/>
              </w:rPr>
            </w:pPr>
            <w:r w:rsidRPr="0034148C">
              <w:rPr>
                <w:rFonts w:asciiTheme="minorHAnsi" w:eastAsia="Times New Roman" w:hAnsiTheme="minorHAnsi" w:cstheme="minorHAnsi"/>
                <w:b/>
                <w:bCs/>
                <w:color w:val="000000"/>
                <w:sz w:val="20"/>
                <w:szCs w:val="20"/>
                <w:lang w:bidi="th-TH"/>
              </w:rPr>
              <w:t>Income and costs</w:t>
            </w:r>
          </w:p>
        </w:tc>
        <w:tc>
          <w:tcPr>
            <w:tcW w:w="1252" w:type="dxa"/>
            <w:shd w:val="clear" w:color="auto" w:fill="auto"/>
            <w:noWrap/>
            <w:vAlign w:val="center"/>
            <w:hideMark/>
          </w:tcPr>
          <w:p w:rsidR="004D27CB" w:rsidRPr="0034148C" w:rsidRDefault="004D27CB" w:rsidP="00400649">
            <w:pPr>
              <w:spacing w:after="0" w:line="240" w:lineRule="auto"/>
              <w:jc w:val="right"/>
              <w:rPr>
                <w:rFonts w:asciiTheme="minorHAnsi" w:eastAsia="Times New Roman" w:hAnsiTheme="minorHAnsi" w:cstheme="minorHAnsi"/>
                <w:b/>
                <w:bCs/>
                <w:sz w:val="20"/>
                <w:szCs w:val="20"/>
                <w:lang w:bidi="th-TH"/>
              </w:rPr>
            </w:pPr>
          </w:p>
        </w:tc>
        <w:tc>
          <w:tcPr>
            <w:tcW w:w="1252" w:type="dxa"/>
            <w:shd w:val="clear" w:color="auto" w:fill="auto"/>
            <w:noWrap/>
            <w:vAlign w:val="center"/>
            <w:hideMark/>
          </w:tcPr>
          <w:p w:rsidR="004D27CB" w:rsidRPr="0034148C" w:rsidRDefault="004D27CB" w:rsidP="00400649">
            <w:pPr>
              <w:spacing w:after="0" w:line="240" w:lineRule="auto"/>
              <w:jc w:val="right"/>
              <w:rPr>
                <w:rFonts w:asciiTheme="minorHAnsi" w:eastAsia="Times New Roman" w:hAnsiTheme="minorHAnsi" w:cstheme="minorHAnsi"/>
                <w:b/>
                <w:bCs/>
                <w:sz w:val="20"/>
                <w:szCs w:val="20"/>
                <w:lang w:bidi="th-TH"/>
              </w:rPr>
            </w:pPr>
          </w:p>
        </w:tc>
        <w:tc>
          <w:tcPr>
            <w:tcW w:w="1252" w:type="dxa"/>
            <w:shd w:val="clear" w:color="auto" w:fill="auto"/>
            <w:noWrap/>
            <w:vAlign w:val="center"/>
            <w:hideMark/>
          </w:tcPr>
          <w:p w:rsidR="004D27CB" w:rsidRPr="0034148C" w:rsidRDefault="004D27CB" w:rsidP="00400649">
            <w:pPr>
              <w:spacing w:after="0" w:line="240" w:lineRule="auto"/>
              <w:jc w:val="right"/>
              <w:rPr>
                <w:rFonts w:asciiTheme="minorHAnsi" w:eastAsia="Times New Roman" w:hAnsiTheme="minorHAnsi" w:cstheme="minorHAnsi"/>
                <w:b/>
                <w:bCs/>
                <w:sz w:val="20"/>
                <w:szCs w:val="20"/>
                <w:lang w:bidi="th-TH"/>
              </w:rPr>
            </w:pPr>
          </w:p>
        </w:tc>
        <w:tc>
          <w:tcPr>
            <w:tcW w:w="1252" w:type="dxa"/>
            <w:shd w:val="clear" w:color="auto" w:fill="auto"/>
            <w:noWrap/>
            <w:vAlign w:val="center"/>
            <w:hideMark/>
          </w:tcPr>
          <w:p w:rsidR="004D27CB" w:rsidRPr="0034148C" w:rsidRDefault="004D27CB" w:rsidP="00400649">
            <w:pPr>
              <w:spacing w:after="0" w:line="240" w:lineRule="auto"/>
              <w:jc w:val="right"/>
              <w:rPr>
                <w:rFonts w:asciiTheme="minorHAnsi" w:eastAsia="Times New Roman" w:hAnsiTheme="minorHAnsi" w:cstheme="minorHAnsi"/>
                <w:b/>
                <w:bCs/>
                <w:sz w:val="20"/>
                <w:szCs w:val="20"/>
                <w:lang w:bidi="th-TH"/>
              </w:rPr>
            </w:pPr>
          </w:p>
        </w:tc>
      </w:tr>
      <w:tr w:rsidR="004D27CB" w:rsidRPr="0034148C" w:rsidTr="00AB7EFF">
        <w:trPr>
          <w:trHeight w:val="432"/>
        </w:trPr>
        <w:tc>
          <w:tcPr>
            <w:tcW w:w="4568" w:type="dxa"/>
            <w:shd w:val="clear" w:color="auto" w:fill="auto"/>
            <w:vAlign w:val="center"/>
            <w:hideMark/>
          </w:tcPr>
          <w:p w:rsidR="004D27CB" w:rsidRPr="0034148C" w:rsidRDefault="004D27CB" w:rsidP="004D27CB">
            <w:pPr>
              <w:spacing w:after="0" w:line="240" w:lineRule="auto"/>
              <w:jc w:val="left"/>
              <w:rPr>
                <w:rFonts w:asciiTheme="minorHAnsi" w:eastAsia="Times New Roman" w:hAnsiTheme="minorHAnsi" w:cstheme="minorHAnsi"/>
                <w:b/>
                <w:bCs/>
                <w:color w:val="000000"/>
                <w:sz w:val="20"/>
                <w:szCs w:val="20"/>
                <w:lang w:bidi="th-TH"/>
              </w:rPr>
            </w:pPr>
            <w:r w:rsidRPr="0034148C">
              <w:rPr>
                <w:rFonts w:asciiTheme="minorHAnsi" w:eastAsia="Times New Roman" w:hAnsiTheme="minorHAnsi" w:cstheme="minorHAnsi"/>
                <w:b/>
                <w:bCs/>
                <w:color w:val="000000"/>
                <w:sz w:val="20"/>
                <w:szCs w:val="20"/>
                <w:lang w:bidi="th-TH"/>
              </w:rPr>
              <w:t>Income (USD)</w:t>
            </w:r>
          </w:p>
        </w:tc>
        <w:tc>
          <w:tcPr>
            <w:tcW w:w="1252" w:type="dxa"/>
            <w:shd w:val="clear" w:color="auto" w:fill="auto"/>
            <w:noWrap/>
            <w:vAlign w:val="center"/>
            <w:hideMark/>
          </w:tcPr>
          <w:p w:rsidR="004D27CB" w:rsidRPr="0034148C" w:rsidRDefault="004D27CB" w:rsidP="004D27CB">
            <w:pPr>
              <w:spacing w:after="0" w:line="240" w:lineRule="auto"/>
              <w:jc w:val="right"/>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 xml:space="preserve"> $72,922 </w:t>
            </w:r>
          </w:p>
        </w:tc>
        <w:tc>
          <w:tcPr>
            <w:tcW w:w="1252" w:type="dxa"/>
            <w:shd w:val="clear" w:color="auto" w:fill="auto"/>
            <w:noWrap/>
            <w:vAlign w:val="center"/>
            <w:hideMark/>
          </w:tcPr>
          <w:p w:rsidR="004D27CB" w:rsidRPr="0034148C" w:rsidRDefault="004D27CB" w:rsidP="004D27CB">
            <w:pPr>
              <w:spacing w:after="0" w:line="240" w:lineRule="auto"/>
              <w:jc w:val="right"/>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 xml:space="preserve">   $8,102 </w:t>
            </w:r>
          </w:p>
        </w:tc>
        <w:tc>
          <w:tcPr>
            <w:tcW w:w="1252" w:type="dxa"/>
            <w:shd w:val="clear" w:color="auto" w:fill="auto"/>
            <w:noWrap/>
            <w:vAlign w:val="center"/>
            <w:hideMark/>
          </w:tcPr>
          <w:p w:rsidR="004D27CB" w:rsidRPr="0034148C" w:rsidRDefault="004D27CB" w:rsidP="004D27CB">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4D27CB" w:rsidRPr="0034148C" w:rsidRDefault="004D27CB" w:rsidP="004D27CB">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FE1972" w:rsidP="00400649">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Fuel cost</w:t>
            </w:r>
            <w:r w:rsidR="004D27CB" w:rsidRPr="0034148C">
              <w:rPr>
                <w:rFonts w:asciiTheme="minorHAnsi" w:eastAsia="Times New Roman" w:hAnsiTheme="minorHAnsi" w:cstheme="minorHAnsi"/>
                <w:color w:val="000000"/>
                <w:sz w:val="20"/>
                <w:szCs w:val="20"/>
                <w:lang w:bidi="th-TH"/>
              </w:rPr>
              <w:t>s</w:t>
            </w:r>
            <w:r w:rsidRPr="0034148C">
              <w:rPr>
                <w:rFonts w:asciiTheme="minorHAnsi" w:eastAsia="Times New Roman" w:hAnsiTheme="minorHAnsi" w:cstheme="minorHAnsi"/>
                <w:color w:val="000000"/>
                <w:sz w:val="20"/>
                <w:szCs w:val="20"/>
                <w:lang w:bidi="th-TH"/>
              </w:rPr>
              <w:t xml:space="preserve"> </w:t>
            </w:r>
            <w:r w:rsidR="00400649" w:rsidRPr="0034148C">
              <w:rPr>
                <w:rFonts w:asciiTheme="minorHAnsi" w:eastAsia="Times New Roman" w:hAnsiTheme="minorHAnsi" w:cstheme="minorHAnsi"/>
                <w:color w:val="000000"/>
                <w:sz w:val="20"/>
                <w:szCs w:val="20"/>
                <w:lang w:bidi="th-TH"/>
              </w:rPr>
              <w:t>(USD)</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27,275</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3,031</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FE1972" w:rsidP="00400649">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Fuel cost per hectare</w:t>
            </w:r>
            <w:r w:rsidR="00400649" w:rsidRPr="0034148C">
              <w:rPr>
                <w:rFonts w:asciiTheme="minorHAnsi" w:eastAsia="Times New Roman" w:hAnsiTheme="minorHAnsi" w:cstheme="minorHAnsi"/>
                <w:color w:val="000000"/>
                <w:sz w:val="20"/>
                <w:szCs w:val="20"/>
                <w:lang w:bidi="th-TH"/>
              </w:rPr>
              <w:t xml:space="preserve"> (USD)</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12.64</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FE1972" w:rsidP="00400649">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 xml:space="preserve">Machinery maintenance </w:t>
            </w:r>
            <w:r w:rsidR="00400649" w:rsidRPr="0034148C">
              <w:rPr>
                <w:rFonts w:asciiTheme="minorHAnsi" w:eastAsia="Times New Roman" w:hAnsiTheme="minorHAnsi" w:cstheme="minorHAnsi"/>
                <w:color w:val="000000"/>
                <w:sz w:val="20"/>
                <w:szCs w:val="20"/>
                <w:lang w:bidi="th-TH"/>
              </w:rPr>
              <w:t>cost</w:t>
            </w:r>
            <w:r w:rsidR="004D27CB" w:rsidRPr="0034148C">
              <w:rPr>
                <w:rFonts w:asciiTheme="minorHAnsi" w:eastAsia="Times New Roman" w:hAnsiTheme="minorHAnsi" w:cstheme="minorHAnsi"/>
                <w:color w:val="000000"/>
                <w:sz w:val="20"/>
                <w:szCs w:val="20"/>
                <w:lang w:bidi="th-TH"/>
              </w:rPr>
              <w:t>s</w:t>
            </w:r>
            <w:r w:rsidR="00400649" w:rsidRPr="0034148C">
              <w:rPr>
                <w:rFonts w:asciiTheme="minorHAnsi" w:eastAsia="Times New Roman" w:hAnsiTheme="minorHAnsi" w:cstheme="minorHAnsi"/>
                <w:color w:val="000000"/>
                <w:sz w:val="20"/>
                <w:szCs w:val="20"/>
                <w:lang w:bidi="th-TH"/>
              </w:rPr>
              <w:t xml:space="preserve"> (USD)</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7,693</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855</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400649" w:rsidP="00400649">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Payroll costs</w:t>
            </w:r>
            <w:r w:rsidR="00491BE0" w:rsidRPr="0034148C">
              <w:rPr>
                <w:rFonts w:asciiTheme="minorHAnsi" w:eastAsia="Times New Roman" w:hAnsiTheme="minorHAnsi" w:cstheme="minorHAnsi"/>
                <w:color w:val="000000"/>
                <w:sz w:val="20"/>
                <w:szCs w:val="20"/>
                <w:lang w:bidi="th-TH"/>
              </w:rPr>
              <w:t xml:space="preserve"> (USD)</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19,575</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2,175</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FE1972" w:rsidP="00400649">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Payroll per person month</w:t>
            </w:r>
            <w:r w:rsidR="00491BE0" w:rsidRPr="0034148C">
              <w:rPr>
                <w:rFonts w:asciiTheme="minorHAnsi" w:eastAsia="Times New Roman" w:hAnsiTheme="minorHAnsi" w:cstheme="minorHAnsi"/>
                <w:color w:val="000000"/>
                <w:sz w:val="20"/>
                <w:szCs w:val="20"/>
                <w:lang w:bidi="th-TH"/>
              </w:rPr>
              <w:t xml:space="preserve"> (USD)</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23.06</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r>
      <w:tr w:rsidR="00AB7EFF" w:rsidRPr="0034148C" w:rsidTr="002A2635">
        <w:trPr>
          <w:trHeight w:val="432"/>
        </w:trPr>
        <w:tc>
          <w:tcPr>
            <w:tcW w:w="4568" w:type="dxa"/>
            <w:shd w:val="clear" w:color="auto" w:fill="auto"/>
            <w:vAlign w:val="center"/>
            <w:hideMark/>
          </w:tcPr>
          <w:p w:rsidR="00AB7EFF" w:rsidRPr="0034148C" w:rsidRDefault="00AB7EFF" w:rsidP="002A2635">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Unforeseen costs (USD)</w:t>
            </w:r>
          </w:p>
        </w:tc>
        <w:tc>
          <w:tcPr>
            <w:tcW w:w="1252" w:type="dxa"/>
            <w:shd w:val="clear" w:color="auto" w:fill="auto"/>
            <w:noWrap/>
            <w:vAlign w:val="center"/>
            <w:hideMark/>
          </w:tcPr>
          <w:p w:rsidR="00AB7EFF" w:rsidRPr="0034148C" w:rsidRDefault="00AB7EFF" w:rsidP="002A2635">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$3,607</w:t>
            </w:r>
          </w:p>
        </w:tc>
        <w:tc>
          <w:tcPr>
            <w:tcW w:w="1252" w:type="dxa"/>
            <w:shd w:val="clear" w:color="auto" w:fill="auto"/>
            <w:noWrap/>
            <w:vAlign w:val="center"/>
            <w:hideMark/>
          </w:tcPr>
          <w:p w:rsidR="00AB7EFF" w:rsidRPr="0034148C" w:rsidRDefault="00AB7EFF" w:rsidP="002A2635">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$401</w:t>
            </w:r>
          </w:p>
        </w:tc>
        <w:tc>
          <w:tcPr>
            <w:tcW w:w="1252" w:type="dxa"/>
            <w:shd w:val="clear" w:color="auto" w:fill="auto"/>
            <w:noWrap/>
            <w:vAlign w:val="center"/>
            <w:hideMark/>
          </w:tcPr>
          <w:p w:rsidR="00AB7EFF" w:rsidRPr="0034148C" w:rsidRDefault="00AB7EFF" w:rsidP="002A2635">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AB7EFF" w:rsidRPr="0034148C" w:rsidRDefault="00AB7EFF" w:rsidP="002A2635">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FE1972" w:rsidP="00400649">
            <w:pPr>
              <w:spacing w:after="0" w:line="240" w:lineRule="auto"/>
              <w:jc w:val="left"/>
              <w:rPr>
                <w:rFonts w:asciiTheme="minorHAnsi" w:eastAsia="Times New Roman" w:hAnsiTheme="minorHAnsi" w:cstheme="minorHAnsi"/>
                <w:color w:val="000000"/>
                <w:sz w:val="20"/>
                <w:szCs w:val="20"/>
                <w:lang w:bidi="th-TH"/>
              </w:rPr>
            </w:pPr>
            <w:r w:rsidRPr="0034148C">
              <w:rPr>
                <w:rFonts w:asciiTheme="minorHAnsi" w:eastAsia="Times New Roman" w:hAnsiTheme="minorHAnsi" w:cstheme="minorHAnsi"/>
                <w:color w:val="000000"/>
                <w:sz w:val="20"/>
                <w:szCs w:val="20"/>
                <w:lang w:bidi="th-TH"/>
              </w:rPr>
              <w:t xml:space="preserve">Total expenses </w:t>
            </w:r>
            <w:r w:rsidR="00491BE0" w:rsidRPr="0034148C">
              <w:rPr>
                <w:rFonts w:asciiTheme="minorHAnsi" w:eastAsia="Times New Roman" w:hAnsiTheme="minorHAnsi" w:cstheme="minorHAnsi"/>
                <w:color w:val="000000"/>
                <w:sz w:val="20"/>
                <w:szCs w:val="20"/>
                <w:lang w:bidi="th-TH"/>
              </w:rPr>
              <w:t>(USD)</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58,150</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r w:rsidR="00FE1972" w:rsidRPr="0034148C">
              <w:rPr>
                <w:rFonts w:asciiTheme="minorHAnsi" w:eastAsia="Times New Roman" w:hAnsiTheme="minorHAnsi" w:cstheme="minorHAnsi"/>
                <w:sz w:val="20"/>
                <w:szCs w:val="20"/>
                <w:lang w:bidi="th-TH"/>
              </w:rPr>
              <w:t>6,461</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r>
      <w:tr w:rsidR="00FE1972" w:rsidRPr="0034148C" w:rsidTr="00AB7EFF">
        <w:trPr>
          <w:trHeight w:val="432"/>
        </w:trPr>
        <w:tc>
          <w:tcPr>
            <w:tcW w:w="4568" w:type="dxa"/>
            <w:shd w:val="clear" w:color="auto" w:fill="auto"/>
            <w:vAlign w:val="center"/>
            <w:hideMark/>
          </w:tcPr>
          <w:p w:rsidR="00FE1972" w:rsidRPr="0034148C" w:rsidRDefault="00FE1972" w:rsidP="00400649">
            <w:pPr>
              <w:spacing w:after="0" w:line="240" w:lineRule="auto"/>
              <w:jc w:val="left"/>
              <w:rPr>
                <w:rFonts w:asciiTheme="minorHAnsi" w:eastAsia="Times New Roman" w:hAnsiTheme="minorHAnsi" w:cstheme="minorHAnsi"/>
                <w:b/>
                <w:bCs/>
                <w:color w:val="000000"/>
                <w:sz w:val="20"/>
                <w:szCs w:val="20"/>
                <w:lang w:bidi="th-TH"/>
              </w:rPr>
            </w:pPr>
            <w:r w:rsidRPr="0034148C">
              <w:rPr>
                <w:rFonts w:asciiTheme="minorHAnsi" w:eastAsia="Times New Roman" w:hAnsiTheme="minorHAnsi" w:cstheme="minorHAnsi"/>
                <w:b/>
                <w:bCs/>
                <w:color w:val="000000"/>
                <w:sz w:val="20"/>
                <w:szCs w:val="20"/>
                <w:lang w:bidi="th-TH"/>
              </w:rPr>
              <w:t xml:space="preserve">Net income </w:t>
            </w:r>
            <w:r w:rsidR="00491BE0" w:rsidRPr="0034148C">
              <w:rPr>
                <w:rFonts w:asciiTheme="minorHAnsi" w:eastAsia="Times New Roman" w:hAnsiTheme="minorHAnsi" w:cstheme="minorHAnsi"/>
                <w:b/>
                <w:bCs/>
                <w:color w:val="000000"/>
                <w:sz w:val="20"/>
                <w:szCs w:val="20"/>
                <w:lang w:bidi="th-TH"/>
              </w:rPr>
              <w:t>(USD)</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w:t>
            </w:r>
            <w:r w:rsidR="00FE1972" w:rsidRPr="0034148C">
              <w:rPr>
                <w:rFonts w:asciiTheme="minorHAnsi" w:eastAsia="Times New Roman" w:hAnsiTheme="minorHAnsi" w:cstheme="minorHAnsi"/>
                <w:b/>
                <w:bCs/>
                <w:sz w:val="20"/>
                <w:szCs w:val="20"/>
                <w:lang w:bidi="th-TH"/>
              </w:rPr>
              <w:t>14,772</w:t>
            </w:r>
          </w:p>
        </w:tc>
        <w:tc>
          <w:tcPr>
            <w:tcW w:w="1252" w:type="dxa"/>
            <w:shd w:val="clear" w:color="auto" w:fill="auto"/>
            <w:noWrap/>
            <w:vAlign w:val="center"/>
            <w:hideMark/>
          </w:tcPr>
          <w:p w:rsidR="00FE1972" w:rsidRPr="0034148C" w:rsidRDefault="00491BE0" w:rsidP="00400649">
            <w:pPr>
              <w:spacing w:after="0" w:line="240" w:lineRule="auto"/>
              <w:jc w:val="right"/>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w:t>
            </w:r>
            <w:r w:rsidR="00FE1972" w:rsidRPr="0034148C">
              <w:rPr>
                <w:rFonts w:asciiTheme="minorHAnsi" w:eastAsia="Times New Roman" w:hAnsiTheme="minorHAnsi" w:cstheme="minorHAnsi"/>
                <w:b/>
                <w:bCs/>
                <w:sz w:val="20"/>
                <w:szCs w:val="20"/>
                <w:lang w:bidi="th-TH"/>
              </w:rPr>
              <w:t>1,641</w:t>
            </w: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c>
          <w:tcPr>
            <w:tcW w:w="1252" w:type="dxa"/>
            <w:shd w:val="clear" w:color="auto" w:fill="auto"/>
            <w:noWrap/>
            <w:vAlign w:val="center"/>
            <w:hideMark/>
          </w:tcPr>
          <w:p w:rsidR="00FE1972" w:rsidRPr="0034148C" w:rsidRDefault="00FE1972" w:rsidP="00400649">
            <w:pPr>
              <w:spacing w:after="0" w:line="240" w:lineRule="auto"/>
              <w:jc w:val="right"/>
              <w:rPr>
                <w:rFonts w:asciiTheme="minorHAnsi" w:eastAsia="Times New Roman" w:hAnsiTheme="minorHAnsi" w:cstheme="minorHAnsi"/>
                <w:sz w:val="20"/>
                <w:szCs w:val="20"/>
                <w:lang w:bidi="th-TH"/>
              </w:rPr>
            </w:pPr>
          </w:p>
        </w:tc>
      </w:tr>
    </w:tbl>
    <w:p w:rsidR="00FE1972" w:rsidRPr="0034148C" w:rsidRDefault="003E3452" w:rsidP="00BE585D">
      <w:pPr>
        <w:pStyle w:val="Figurenote"/>
      </w:pPr>
      <w:proofErr w:type="gramStart"/>
      <w:r w:rsidRPr="0034148C">
        <w:t>Source: Project monitoring database</w:t>
      </w:r>
      <w:r w:rsidR="00BE585D" w:rsidRPr="0034148C">
        <w:t>.</w:t>
      </w:r>
      <w:proofErr w:type="gramEnd"/>
    </w:p>
    <w:p w:rsidR="0076157A" w:rsidRPr="0034148C" w:rsidRDefault="0076157A" w:rsidP="0076157A">
      <w:pPr>
        <w:pStyle w:val="Heading3"/>
      </w:pPr>
      <w:bookmarkStart w:id="99" w:name="_Toc338572120"/>
      <w:bookmarkStart w:id="100" w:name="_Toc338717131"/>
      <w:bookmarkStart w:id="101" w:name="_Toc338750162"/>
      <w:bookmarkStart w:id="102" w:name="_Toc339368755"/>
      <w:r w:rsidRPr="0034148C">
        <w:t>4.1.2 Effectiveness of the program in raising incomes</w:t>
      </w:r>
      <w:bookmarkEnd w:id="99"/>
      <w:bookmarkEnd w:id="100"/>
      <w:bookmarkEnd w:id="101"/>
      <w:bookmarkEnd w:id="102"/>
    </w:p>
    <w:p w:rsidR="0076157A" w:rsidRPr="0034148C" w:rsidRDefault="002A53BE" w:rsidP="0076157A">
      <w:r w:rsidRPr="0034148C">
        <w:t xml:space="preserve">As mentioned above, a </w:t>
      </w:r>
      <w:r w:rsidR="0076157A" w:rsidRPr="0034148C">
        <w:t xml:space="preserve">survey </w:t>
      </w:r>
      <w:r w:rsidRPr="0034148C">
        <w:t xml:space="preserve">was </w:t>
      </w:r>
      <w:r w:rsidR="0076157A" w:rsidRPr="0034148C">
        <w:t>conducted with both IDPs and local farmers who had used the agricultural machinery</w:t>
      </w:r>
      <w:r w:rsidRPr="0034148C">
        <w:t xml:space="preserve">; a total of </w:t>
      </w:r>
      <w:r w:rsidR="00D53005" w:rsidRPr="0034148C">
        <w:t>52 IDPs and 47 local farmers were included (</w:t>
      </w:r>
      <w:proofErr w:type="gramStart"/>
      <w:r w:rsidR="00D53005" w:rsidRPr="0034148C">
        <w:t>total of 97</w:t>
      </w:r>
      <w:proofErr w:type="gramEnd"/>
      <w:r w:rsidR="00D53005" w:rsidRPr="0034148C">
        <w:t>). The survey results</w:t>
      </w:r>
      <w:r w:rsidR="0076157A" w:rsidRPr="0034148C">
        <w:t xml:space="preserve"> give some indication of the impact of the program on farm incomes. As shown in Figure 4.1.1, both IDP and local farmers said that they </w:t>
      </w:r>
      <w:r w:rsidR="009D6491" w:rsidRPr="0034148C">
        <w:t xml:space="preserve">considerably </w:t>
      </w:r>
      <w:r w:rsidR="0076157A" w:rsidRPr="0034148C">
        <w:t xml:space="preserve">increased the number of hectares they farmed after the implementation of the agricultural machinery program. </w:t>
      </w:r>
      <w:r w:rsidR="009D6491" w:rsidRPr="0034148C">
        <w:t xml:space="preserve">While </w:t>
      </w:r>
      <w:r w:rsidR="0076157A" w:rsidRPr="0034148C">
        <w:t>IDP farmers</w:t>
      </w:r>
      <w:r w:rsidR="009D6491" w:rsidRPr="0034148C">
        <w:t xml:space="preserve"> </w:t>
      </w:r>
      <w:r w:rsidR="0076157A" w:rsidRPr="0034148C">
        <w:t xml:space="preserve">only had access to </w:t>
      </w:r>
      <w:r w:rsidR="009D6491" w:rsidRPr="0034148C">
        <w:t>small land plots, the program had a relatively greater impact on the amount of land they could farm. While local farmers increased their agricultural land by 60%</w:t>
      </w:r>
      <w:r w:rsidR="00592C19" w:rsidRPr="0034148C">
        <w:t xml:space="preserve"> (from 1.02 to 1.63 hectares on average)</w:t>
      </w:r>
      <w:r w:rsidR="009D6491" w:rsidRPr="0034148C">
        <w:t xml:space="preserve">, IDP farmers </w:t>
      </w:r>
      <w:proofErr w:type="gramStart"/>
      <w:r w:rsidR="009D6491" w:rsidRPr="0034148C">
        <w:t>were</w:t>
      </w:r>
      <w:proofErr w:type="gramEnd"/>
      <w:r w:rsidR="009D6491" w:rsidRPr="0034148C">
        <w:t xml:space="preserve"> farming 3.2 </w:t>
      </w:r>
    </w:p>
    <w:p w:rsidR="007C3945" w:rsidRPr="0034148C" w:rsidRDefault="007C3945" w:rsidP="00BE585D">
      <w:pPr>
        <w:pStyle w:val="Heading5"/>
      </w:pPr>
      <w:bookmarkStart w:id="103" w:name="_Toc338325589"/>
      <w:r w:rsidRPr="0034148C">
        <w:rPr>
          <w:noProof/>
          <w:lang w:bidi="th-TH"/>
        </w:rPr>
        <w:lastRenderedPageBreak/>
        <w:drawing>
          <wp:anchor distT="0" distB="0" distL="114300" distR="114300" simplePos="0" relativeHeight="251681792" behindDoc="0" locked="1" layoutInCell="1" allowOverlap="0">
            <wp:simplePos x="0" y="0"/>
            <wp:positionH relativeFrom="margin">
              <wp:posOffset>722630</wp:posOffset>
            </wp:positionH>
            <wp:positionV relativeFrom="paragraph">
              <wp:posOffset>520700</wp:posOffset>
            </wp:positionV>
            <wp:extent cx="4475480" cy="2928620"/>
            <wp:effectExtent l="19050" t="0" r="20320" b="5080"/>
            <wp:wrapTopAndBottom/>
            <wp:docPr id="8"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bookmarkStart w:id="104" w:name="_Toc338571939"/>
      <w:bookmarkStart w:id="105" w:name="_Toc338717178"/>
      <w:bookmarkStart w:id="106" w:name="_Toc338750242"/>
      <w:bookmarkStart w:id="107" w:name="_Toc339368811"/>
      <w:r w:rsidRPr="0034148C">
        <w:t>Fi</w:t>
      </w:r>
      <w:r w:rsidR="00CA19DB" w:rsidRPr="0034148C">
        <w:t>gure 4.1.1</w:t>
      </w:r>
      <w:r w:rsidRPr="0034148C">
        <w:t xml:space="preserve">: </w:t>
      </w:r>
      <w:r w:rsidR="00155314" w:rsidRPr="0034148C">
        <w:t>Number</w:t>
      </w:r>
      <w:r w:rsidRPr="0034148C">
        <w:t xml:space="preserve"> of hectares under cultivation before and after implementation of the agricultural machinery program for IDP and local farmers (N=97)</w:t>
      </w:r>
      <w:bookmarkEnd w:id="104"/>
      <w:bookmarkEnd w:id="105"/>
      <w:bookmarkEnd w:id="106"/>
      <w:bookmarkEnd w:id="107"/>
    </w:p>
    <w:p w:rsidR="007C3945" w:rsidRPr="0034148C" w:rsidRDefault="00BE585D" w:rsidP="00BE585D">
      <w:pPr>
        <w:pStyle w:val="Figurenote"/>
      </w:pPr>
      <w:r w:rsidRPr="0034148C">
        <w:tab/>
      </w:r>
      <w:r w:rsidRPr="0034148C">
        <w:tab/>
      </w:r>
      <w:proofErr w:type="gramStart"/>
      <w:r w:rsidRPr="0034148C">
        <w:t>Source: Agricultural machinery customer survey.</w:t>
      </w:r>
      <w:proofErr w:type="gramEnd"/>
    </w:p>
    <w:p w:rsidR="00CA19DB" w:rsidRPr="0034148C" w:rsidRDefault="007C3945" w:rsidP="00BE585D">
      <w:pPr>
        <w:pStyle w:val="Heading5"/>
      </w:pPr>
      <w:bookmarkStart w:id="108" w:name="_Toc338571940"/>
      <w:bookmarkStart w:id="109" w:name="_Toc338717179"/>
      <w:bookmarkStart w:id="110" w:name="_Toc338750243"/>
      <w:bookmarkStart w:id="111" w:name="_Toc339368812"/>
      <w:r w:rsidRPr="0034148C">
        <w:t xml:space="preserve">Figure 4.1.2: </w:t>
      </w:r>
      <w:r w:rsidR="00BE585D" w:rsidRPr="0034148C">
        <w:t>An</w:t>
      </w:r>
      <w:r w:rsidRPr="0034148C">
        <w:t xml:space="preserve">nual income from agriculture </w:t>
      </w:r>
      <w:r w:rsidR="00CA19DB" w:rsidRPr="0034148C">
        <w:t>before and after implementation of the agricultural machinery program for IDP and local farmers (N=97)</w:t>
      </w:r>
      <w:bookmarkEnd w:id="108"/>
      <w:bookmarkEnd w:id="109"/>
      <w:bookmarkEnd w:id="110"/>
      <w:bookmarkEnd w:id="111"/>
    </w:p>
    <w:p w:rsidR="007C3945" w:rsidRPr="0034148C" w:rsidRDefault="00CA19DB" w:rsidP="00BE585D">
      <w:pPr>
        <w:pStyle w:val="Figurenote"/>
        <w:rPr>
          <w:rFonts w:ascii="Tw Cen MT" w:hAnsi="Tw Cen MT"/>
          <w:color w:val="FE8637" w:themeColor="accent1"/>
          <w:sz w:val="28"/>
          <w:szCs w:val="26"/>
        </w:rPr>
      </w:pPr>
      <w:r w:rsidRPr="0034148C">
        <w:rPr>
          <w:noProof/>
          <w:lang w:bidi="th-TH"/>
        </w:rPr>
        <w:drawing>
          <wp:anchor distT="0" distB="0" distL="114300" distR="114300" simplePos="0" relativeHeight="251683840" behindDoc="0" locked="1" layoutInCell="1" allowOverlap="0">
            <wp:simplePos x="0" y="0"/>
            <wp:positionH relativeFrom="margin">
              <wp:align>center</wp:align>
            </wp:positionH>
            <wp:positionV relativeFrom="paragraph">
              <wp:posOffset>88265</wp:posOffset>
            </wp:positionV>
            <wp:extent cx="4489450" cy="2928620"/>
            <wp:effectExtent l="19050" t="0" r="25400" b="5080"/>
            <wp:wrapTopAndBottom/>
            <wp:docPr id="9"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BE585D" w:rsidRPr="0034148C">
        <w:tab/>
      </w:r>
      <w:r w:rsidR="00BE585D" w:rsidRPr="0034148C">
        <w:tab/>
      </w:r>
      <w:proofErr w:type="gramStart"/>
      <w:r w:rsidR="00BE585D" w:rsidRPr="0034148C">
        <w:t>Source: Agricultural machinery customer survey.</w:t>
      </w:r>
      <w:proofErr w:type="gramEnd"/>
      <w:r w:rsidR="007C3945" w:rsidRPr="0034148C">
        <w:br w:type="page"/>
      </w:r>
    </w:p>
    <w:p w:rsidR="00984BFD" w:rsidRPr="0034148C" w:rsidRDefault="00984BFD" w:rsidP="00984BFD">
      <w:bookmarkStart w:id="112" w:name="_Toc338572121"/>
      <w:proofErr w:type="gramStart"/>
      <w:r w:rsidRPr="0034148C">
        <w:lastRenderedPageBreak/>
        <w:t>times</w:t>
      </w:r>
      <w:proofErr w:type="gramEnd"/>
      <w:r w:rsidRPr="0034148C">
        <w:t xml:space="preserve"> the amount of land after program implementation (from .19 hectares to .78 hectares on average).</w:t>
      </w:r>
    </w:p>
    <w:p w:rsidR="00984BFD" w:rsidRPr="0034148C" w:rsidRDefault="00984BFD" w:rsidP="00984BFD">
      <w:r w:rsidRPr="0034148C">
        <w:t xml:space="preserve">The survey also asked about annual income from agriculture before and after the agricultural machinery program. While IDP farmers’ income remained considerably lower than that of the local farmers, the impact of the program was much greater for them. IDP farmers increased their income by 78% (from </w:t>
      </w:r>
      <w:r w:rsidR="00DA7C2B">
        <w:t>USD $279 to $</w:t>
      </w:r>
      <w:r w:rsidRPr="0034148C">
        <w:t>4</w:t>
      </w:r>
      <w:r w:rsidR="00DA7C2B">
        <w:t>97</w:t>
      </w:r>
      <w:r w:rsidRPr="0034148C">
        <w:t xml:space="preserve"> on average) while the local farmers increased their income by only 12%.</w:t>
      </w:r>
      <w:r w:rsidRPr="0034148C">
        <w:rPr>
          <w:rStyle w:val="FootnoteReference"/>
        </w:rPr>
        <w:footnoteReference w:id="1"/>
      </w:r>
    </w:p>
    <w:p w:rsidR="00BF130E" w:rsidRPr="0034148C" w:rsidRDefault="00D53005" w:rsidP="00BB3E5E">
      <w:r w:rsidRPr="0034148C">
        <w:t xml:space="preserve">Qualitative data from the two focus group discussions conducted with customers of the agricultural machinery groups also gives some indication of the impact of the program. One group </w:t>
      </w:r>
      <w:proofErr w:type="gramStart"/>
      <w:r w:rsidRPr="0034148C">
        <w:t>was held</w:t>
      </w:r>
      <w:proofErr w:type="gramEnd"/>
      <w:r w:rsidRPr="0034148C">
        <w:t xml:space="preserve"> with IDPs and one with local farmers. </w:t>
      </w:r>
      <w:r w:rsidR="00BB3E5E" w:rsidRPr="0034148C">
        <w:t xml:space="preserve">All </w:t>
      </w:r>
      <w:r w:rsidRPr="0034148C">
        <w:t xml:space="preserve">of </w:t>
      </w:r>
      <w:r w:rsidR="00BB3E5E" w:rsidRPr="0034148C">
        <w:t>the</w:t>
      </w:r>
      <w:r w:rsidR="007405B4" w:rsidRPr="0034148C">
        <w:t xml:space="preserve"> IDP FGD</w:t>
      </w:r>
      <w:r w:rsidR="00BB3E5E" w:rsidRPr="0034148C">
        <w:t xml:space="preserve"> participants</w:t>
      </w:r>
      <w:r w:rsidR="007405B4" w:rsidRPr="0034148C">
        <w:t xml:space="preserve"> indicated that they</w:t>
      </w:r>
      <w:r w:rsidR="00BB3E5E" w:rsidRPr="0034148C">
        <w:t xml:space="preserve"> are happy with the machinery </w:t>
      </w:r>
      <w:proofErr w:type="gramStart"/>
      <w:r w:rsidR="00BB3E5E" w:rsidRPr="0034148C">
        <w:t>groups, acknowledging that thanks to the</w:t>
      </w:r>
      <w:r w:rsidR="007405B4" w:rsidRPr="0034148C">
        <w:t xml:space="preserve"> </w:t>
      </w:r>
      <w:r w:rsidR="00155314" w:rsidRPr="0034148C">
        <w:t>program,</w:t>
      </w:r>
      <w:r w:rsidR="00BB3E5E" w:rsidRPr="0034148C">
        <w:t xml:space="preserve"> their land is</w:t>
      </w:r>
      <w:proofErr w:type="gramEnd"/>
      <w:r w:rsidR="00BB3E5E" w:rsidRPr="0034148C">
        <w:t xml:space="preserve"> processed on time (and more of it is processed, too). Before the machinery groups </w:t>
      </w:r>
      <w:proofErr w:type="gramStart"/>
      <w:r w:rsidR="00BB3E5E" w:rsidRPr="0034148C">
        <w:t xml:space="preserve">were </w:t>
      </w:r>
      <w:r w:rsidR="00155314" w:rsidRPr="0034148C">
        <w:t>created</w:t>
      </w:r>
      <w:proofErr w:type="gramEnd"/>
      <w:r w:rsidR="00155314" w:rsidRPr="0034148C">
        <w:t>,</w:t>
      </w:r>
      <w:r w:rsidR="00BB3E5E" w:rsidRPr="0034148C">
        <w:t xml:space="preserve"> they had to hire machinery from</w:t>
      </w:r>
      <w:r w:rsidR="007405B4" w:rsidRPr="0034148C">
        <w:t xml:space="preserve"> the local population at villages</w:t>
      </w:r>
      <w:r w:rsidR="00BB3E5E" w:rsidRPr="0034148C">
        <w:t xml:space="preserve"> located at some distance. This was much more expensive and took much more time, because there was always a queue</w:t>
      </w:r>
      <w:r w:rsidR="007405B4" w:rsidRPr="0034148C">
        <w:rPr>
          <w:rFonts w:ascii="Calibri" w:hAnsi="Calibri" w:cs="Calibri"/>
        </w:rPr>
        <w:t>—</w:t>
      </w:r>
      <w:r w:rsidR="007405B4" w:rsidRPr="0034148C">
        <w:t>e</w:t>
      </w:r>
      <w:r w:rsidR="00BB3E5E" w:rsidRPr="0034148C">
        <w:t>specially if there was one tractor only. Because of this</w:t>
      </w:r>
      <w:r w:rsidR="007405B4" w:rsidRPr="0034148C">
        <w:t>,</w:t>
      </w:r>
      <w:r w:rsidR="00BB3E5E" w:rsidRPr="0034148C">
        <w:t xml:space="preserve"> seeding </w:t>
      </w:r>
      <w:proofErr w:type="gramStart"/>
      <w:r w:rsidR="00BB3E5E" w:rsidRPr="0034148C">
        <w:t>was often done</w:t>
      </w:r>
      <w:proofErr w:type="gramEnd"/>
      <w:r w:rsidR="00BB3E5E" w:rsidRPr="0034148C">
        <w:t xml:space="preserve"> too late for </w:t>
      </w:r>
      <w:r w:rsidR="007405B4" w:rsidRPr="0034148C">
        <w:t xml:space="preserve">a </w:t>
      </w:r>
      <w:r w:rsidR="00BB3E5E" w:rsidRPr="0034148C">
        <w:t>good harvest</w:t>
      </w:r>
      <w:r w:rsidR="007405B4" w:rsidRPr="0034148C">
        <w:t>, and some land remained unprocessed</w:t>
      </w:r>
      <w:r w:rsidR="00BB3E5E" w:rsidRPr="0034148C">
        <w:t xml:space="preserve">.  </w:t>
      </w:r>
    </w:p>
    <w:p w:rsidR="00BF130E" w:rsidRPr="0034148C" w:rsidRDefault="00BF130E" w:rsidP="00BF130E">
      <w:r w:rsidRPr="0034148C">
        <w:t>In the current situation, the tractors from the agricultural machinery groups are available to the IDPs first, and only afterwards go to the local population. They also work cheaper for the IDPs (as evidenced by the monitoring data presented above) and the groups will let payment wait for IDPs if they cannot pay immediately. FGD participants said that the local machinery owners never do this.  However, one unintended consequence of the program is that there is less land available for IDPs to rent from local farmers:</w:t>
      </w:r>
    </w:p>
    <w:p w:rsidR="00A108D5" w:rsidRPr="0034148C" w:rsidRDefault="00786058" w:rsidP="00ED0AC2">
      <w:pPr>
        <w:pStyle w:val="Quote"/>
      </w:pPr>
      <w:r>
        <w:t>[In my community] a</w:t>
      </w:r>
      <w:r w:rsidR="00A108D5" w:rsidRPr="0034148C">
        <w:t xml:space="preserve">t first </w:t>
      </w:r>
      <w:r w:rsidR="007405B4" w:rsidRPr="0034148C">
        <w:t xml:space="preserve">[before the agricultural machinery </w:t>
      </w:r>
      <w:r w:rsidR="00155314" w:rsidRPr="0034148C">
        <w:t>groups],</w:t>
      </w:r>
      <w:r w:rsidR="007405B4" w:rsidRPr="0034148C">
        <w:t xml:space="preserve"> the </w:t>
      </w:r>
      <w:r w:rsidR="00A108D5" w:rsidRPr="0034148C">
        <w:t>locals did not work on their lands themselves and rented them to us che</w:t>
      </w:r>
      <w:r w:rsidR="007405B4" w:rsidRPr="0034148C">
        <w:t>a</w:t>
      </w:r>
      <w:r w:rsidR="00A108D5" w:rsidRPr="0034148C">
        <w:t xml:space="preserve">ply, because harvest here is poor. </w:t>
      </w:r>
      <w:proofErr w:type="gramStart"/>
      <w:r w:rsidR="00A108D5" w:rsidRPr="0034148C">
        <w:t>But now</w:t>
      </w:r>
      <w:proofErr w:type="gramEnd"/>
      <w:r w:rsidR="007405B4" w:rsidRPr="0034148C">
        <w:t xml:space="preserve"> that </w:t>
      </w:r>
      <w:r w:rsidR="00A108D5" w:rsidRPr="0034148C">
        <w:t>we</w:t>
      </w:r>
      <w:r w:rsidR="00ED0AC2" w:rsidRPr="0034148C">
        <w:t>’re able to farm</w:t>
      </w:r>
      <w:r w:rsidR="00A108D5" w:rsidRPr="0034148C">
        <w:t xml:space="preserve"> here and have</w:t>
      </w:r>
      <w:r w:rsidR="00ED0AC2" w:rsidRPr="0034148C">
        <w:t xml:space="preserve"> a</w:t>
      </w:r>
      <w:r w:rsidR="00A108D5" w:rsidRPr="0034148C">
        <w:t xml:space="preserve"> good harvest, they also start</w:t>
      </w:r>
      <w:r w:rsidR="00ED0AC2" w:rsidRPr="0034148C">
        <w:t>ed to process this</w:t>
      </w:r>
      <w:r w:rsidR="00A108D5" w:rsidRPr="0034148C">
        <w:t xml:space="preserve"> land and do no</w:t>
      </w:r>
      <w:r w:rsidR="00ED0AC2" w:rsidRPr="0034148C">
        <w:t>t give it to us cheap any more</w:t>
      </w:r>
      <w:r w:rsidR="00A108D5" w:rsidRPr="0034148C">
        <w:t>.</w:t>
      </w:r>
      <w:r w:rsidR="00ED0AC2" w:rsidRPr="0034148C">
        <w:t xml:space="preserve"> (IDP, agricultural machinery FGD)</w:t>
      </w:r>
    </w:p>
    <w:p w:rsidR="00A108D5" w:rsidRPr="0034148C" w:rsidRDefault="00A108D5" w:rsidP="00A108D5">
      <w:proofErr w:type="gramStart"/>
      <w:r w:rsidRPr="0034148C">
        <w:t xml:space="preserve">As </w:t>
      </w:r>
      <w:r w:rsidR="00D53005" w:rsidRPr="0034148C">
        <w:t>a r</w:t>
      </w:r>
      <w:r w:rsidRPr="0034148C">
        <w:t>esult</w:t>
      </w:r>
      <w:proofErr w:type="gramEnd"/>
      <w:r w:rsidR="00D53005" w:rsidRPr="0034148C">
        <w:t xml:space="preserve"> of the land being processed on time and more land being put into production, </w:t>
      </w:r>
      <w:r w:rsidR="00BF130E" w:rsidRPr="0034148C">
        <w:t>the program greatly contributed to enhanced agricultural productivity. T</w:t>
      </w:r>
      <w:r w:rsidR="00D53005" w:rsidRPr="0034148C">
        <w:t xml:space="preserve">he IDP FGD participants said that their family income </w:t>
      </w:r>
      <w:r w:rsidRPr="0034148C">
        <w:t xml:space="preserve">has increased, sometimes even by several hundred GEL per harvest. </w:t>
      </w:r>
    </w:p>
    <w:p w:rsidR="00BB3E5E" w:rsidRPr="0034148C" w:rsidRDefault="00D7158B" w:rsidP="00BB3E5E">
      <w:r w:rsidRPr="0034148C">
        <w:t xml:space="preserve">The local farmers who participated in the focus group discussion were </w:t>
      </w:r>
      <w:r w:rsidR="00BF130E" w:rsidRPr="0034148C">
        <w:t xml:space="preserve">also </w:t>
      </w:r>
      <w:r w:rsidRPr="0034148C">
        <w:t>very positive about the benefits of having the machinery available and the quality</w:t>
      </w:r>
      <w:r w:rsidR="00EB617C" w:rsidRPr="0034148C">
        <w:t xml:space="preserve"> of the machinery</w:t>
      </w:r>
      <w:r w:rsidRPr="0034148C">
        <w:t xml:space="preserve">, particularly the seeding machines and cultivators. They also felt that the </w:t>
      </w:r>
      <w:r w:rsidR="00EB617C" w:rsidRPr="0034148C">
        <w:t xml:space="preserve">agricultural machinery </w:t>
      </w:r>
      <w:r w:rsidRPr="0034148C">
        <w:t xml:space="preserve">groups </w:t>
      </w:r>
      <w:proofErr w:type="gramStart"/>
      <w:r w:rsidRPr="0034148C">
        <w:t>were managed</w:t>
      </w:r>
      <w:proofErr w:type="gramEnd"/>
      <w:r w:rsidRPr="0034148C">
        <w:t xml:space="preserve"> well</w:t>
      </w:r>
      <w:r w:rsidR="001C23A5" w:rsidRPr="0034148C">
        <w:t xml:space="preserve"> by the IDP farmers. </w:t>
      </w:r>
      <w:r w:rsidR="00EB617C" w:rsidRPr="0034148C">
        <w:t>Participants said that the l</w:t>
      </w:r>
      <w:r w:rsidR="00BB3E5E" w:rsidRPr="0034148C">
        <w:t xml:space="preserve">ocal people use the machinery </w:t>
      </w:r>
      <w:r w:rsidR="00EB617C" w:rsidRPr="0034148C">
        <w:lastRenderedPageBreak/>
        <w:t xml:space="preserve">about </w:t>
      </w:r>
      <w:r w:rsidR="00BB3E5E" w:rsidRPr="0034148C">
        <w:t xml:space="preserve">equally with IDPs. </w:t>
      </w:r>
      <w:r w:rsidR="00EB617C" w:rsidRPr="0034148C">
        <w:t>In</w:t>
      </w:r>
      <w:r w:rsidR="00BB3E5E" w:rsidRPr="0034148C">
        <w:t xml:space="preserve"> their opinion, the prices </w:t>
      </w:r>
      <w:r w:rsidR="00EB617C" w:rsidRPr="0034148C">
        <w:t xml:space="preserve">charged by the </w:t>
      </w:r>
      <w:r w:rsidR="00BB3E5E" w:rsidRPr="0034148C">
        <w:t>agricultural machinery groups are quite cheap and th</w:t>
      </w:r>
      <w:r w:rsidR="00EB617C" w:rsidRPr="0034148C">
        <w:t>u</w:t>
      </w:r>
      <w:r w:rsidR="00BB3E5E" w:rsidRPr="0034148C">
        <w:t xml:space="preserve">s </w:t>
      </w:r>
      <w:r w:rsidR="00EB617C" w:rsidRPr="0034148C">
        <w:t xml:space="preserve">the </w:t>
      </w:r>
      <w:r w:rsidR="00BB3E5E" w:rsidRPr="0034148C">
        <w:t xml:space="preserve">groups have </w:t>
      </w:r>
      <w:r w:rsidR="00EB617C" w:rsidRPr="0034148C">
        <w:t xml:space="preserve">a </w:t>
      </w:r>
      <w:r w:rsidR="00BB3E5E" w:rsidRPr="0034148C">
        <w:t xml:space="preserve">positive impact on </w:t>
      </w:r>
      <w:r w:rsidR="00EB617C" w:rsidRPr="0034148C">
        <w:t xml:space="preserve">the </w:t>
      </w:r>
      <w:r w:rsidR="00BB3E5E" w:rsidRPr="0034148C">
        <w:t xml:space="preserve">agricultural communities, creating competition and stopping </w:t>
      </w:r>
      <w:r w:rsidR="00EB617C" w:rsidRPr="0034148C">
        <w:t xml:space="preserve">the </w:t>
      </w:r>
      <w:r w:rsidR="00BB3E5E" w:rsidRPr="0034148C">
        <w:t>growth of prices. The</w:t>
      </w:r>
      <w:r w:rsidR="00EB617C" w:rsidRPr="0034148C">
        <w:t xml:space="preserve"> local participants</w:t>
      </w:r>
      <w:r w:rsidR="00BB3E5E" w:rsidRPr="0034148C">
        <w:t xml:space="preserve"> could name no negative impacts</w:t>
      </w:r>
      <w:r w:rsidR="00EB617C" w:rsidRPr="0034148C">
        <w:t xml:space="preserve"> of the program</w:t>
      </w:r>
      <w:r w:rsidR="00BB3E5E" w:rsidRPr="0034148C">
        <w:t xml:space="preserve">.  </w:t>
      </w:r>
    </w:p>
    <w:p w:rsidR="001C23A5" w:rsidRPr="0034148C" w:rsidRDefault="005C32E2" w:rsidP="001C23A5">
      <w:r>
        <w:t xml:space="preserve">The agricultural machinery provided by the SIIMS program had a substantial and widespread impact on the ability of IDPs and non-IDPs in the project area to increase their agricultural productivity and income. Nevertheless, some </w:t>
      </w:r>
      <w:r w:rsidR="001C23A5" w:rsidRPr="0034148C">
        <w:t xml:space="preserve">local farmers expressed </w:t>
      </w:r>
      <w:r w:rsidR="00577361">
        <w:t xml:space="preserve">additional needs for </w:t>
      </w:r>
      <w:r w:rsidR="001C23A5" w:rsidRPr="0034148C">
        <w:t xml:space="preserve">machinery that </w:t>
      </w:r>
      <w:r w:rsidR="00A108D5" w:rsidRPr="0034148C">
        <w:t>is</w:t>
      </w:r>
      <w:r w:rsidR="001C23A5" w:rsidRPr="0034148C">
        <w:t xml:space="preserve"> not currently available. T</w:t>
      </w:r>
      <w:r w:rsidR="00D7158B" w:rsidRPr="0034148C">
        <w:t>hey stressed the need for a grain harvester combine</w:t>
      </w:r>
      <w:r w:rsidR="001C23A5" w:rsidRPr="0034148C">
        <w:t xml:space="preserve">, which now has to </w:t>
      </w:r>
      <w:proofErr w:type="gramStart"/>
      <w:r w:rsidR="001C23A5" w:rsidRPr="0034148C">
        <w:t>be transported</w:t>
      </w:r>
      <w:proofErr w:type="gramEnd"/>
      <w:r w:rsidR="001C23A5" w:rsidRPr="0034148C">
        <w:t xml:space="preserve"> from a great distance when needed, and is critical for the harvest. They also expressed the need for more trailers, for a press for cut grass, and a seeding machine for potatoes or red beets. Some also said that the tractors were difficult to repair because it was hard to get parts</w:t>
      </w:r>
      <w:r w:rsidR="00EB617C" w:rsidRPr="0034148C">
        <w:t>, and that the trailers did not fit all of the tractors</w:t>
      </w:r>
      <w:r w:rsidR="001C23A5" w:rsidRPr="0034148C">
        <w:t>.</w:t>
      </w:r>
      <w:r w:rsidR="00577361">
        <w:t xml:space="preserve"> </w:t>
      </w:r>
      <w:proofErr w:type="gramStart"/>
      <w:r w:rsidR="00577361">
        <w:t xml:space="preserve">In the case of the tractors being difficult to repair, this is likely a reference to the machinery schemes implemented by the government, as the groups in the SIIMS scheme deliberately avoided making purchases </w:t>
      </w:r>
      <w:r w:rsidR="000A2524">
        <w:t>that would have</w:t>
      </w:r>
      <w:r w:rsidR="00577361">
        <w:t xml:space="preserve"> this issue.</w:t>
      </w:r>
      <w:proofErr w:type="gramEnd"/>
      <w:r w:rsidR="00577361">
        <w:t xml:space="preserve"> </w:t>
      </w:r>
      <w:r w:rsidR="00A108D5" w:rsidRPr="0034148C">
        <w:t>IDP farmers also mentioned the lack of trailers that fit the tractors, and the need for a seeding aggregate for corn and for pressing cut grass.</w:t>
      </w:r>
      <w:r w:rsidR="000C0A58" w:rsidRPr="0034148C">
        <w:t xml:space="preserve"> In some areas, the lack of a bridge across the river made it impossible to move the machinery to some land plots.</w:t>
      </w:r>
      <w:r w:rsidR="00577361">
        <w:t xml:space="preserve"> </w:t>
      </w:r>
      <w:r w:rsidR="000A2524">
        <w:t>Thus, a</w:t>
      </w:r>
      <w:r w:rsidR="00577361">
        <w:t xml:space="preserve">s with </w:t>
      </w:r>
      <w:r w:rsidR="000A2524">
        <w:t xml:space="preserve">many </w:t>
      </w:r>
      <w:r w:rsidR="00577361">
        <w:t xml:space="preserve">of the </w:t>
      </w:r>
      <w:r w:rsidR="000A2524">
        <w:t>programs, resources limited the ability to fulfill all of the needs of the community; and fulfilling the most important needs sometimes brings to light the next level of needs.</w:t>
      </w:r>
    </w:p>
    <w:p w:rsidR="0086161E" w:rsidRPr="0034148C" w:rsidRDefault="0086161E" w:rsidP="001C23A5">
      <w:r w:rsidRPr="0034148C">
        <w:t xml:space="preserve">Members of the machinery groups who were interviewed during the site visits said that they sometimes </w:t>
      </w:r>
      <w:r w:rsidR="000C0A58" w:rsidRPr="0034148C">
        <w:t>did not charge IDPs the fuel costs if they were unable to pay; for example, some widows or others in difficult economic circumstances.</w:t>
      </w:r>
    </w:p>
    <w:p w:rsidR="000C0A58" w:rsidRPr="0034148C" w:rsidRDefault="000C0A58" w:rsidP="001C23A5">
      <w:r w:rsidRPr="0034148C">
        <w:t>All respondents said that the trainings were extremely useful and necessary for them to run the groups. Members of the groups also got to know each other during the training and later shared machinery. Members said that CARE did not interfere in their decisions of what to purchase</w:t>
      </w:r>
      <w:r w:rsidR="00516ECE">
        <w:t>.</w:t>
      </w:r>
    </w:p>
    <w:p w:rsidR="00F633CD" w:rsidRPr="0034148C" w:rsidRDefault="00F633CD" w:rsidP="00F633CD">
      <w:pPr>
        <w:pStyle w:val="Heading3"/>
      </w:pPr>
      <w:bookmarkStart w:id="113" w:name="_Toc338717132"/>
      <w:bookmarkStart w:id="114" w:name="_Toc338750163"/>
      <w:bookmarkStart w:id="115" w:name="_Toc339368756"/>
      <w:r w:rsidRPr="0034148C">
        <w:t>4.1.4 Effectiveness of the program in promoting IDP integration</w:t>
      </w:r>
      <w:bookmarkEnd w:id="112"/>
      <w:bookmarkEnd w:id="113"/>
      <w:bookmarkEnd w:id="114"/>
      <w:bookmarkEnd w:id="115"/>
    </w:p>
    <w:p w:rsidR="00A108D5" w:rsidRPr="0034148C" w:rsidRDefault="00080D06" w:rsidP="00A108D5">
      <w:r w:rsidRPr="0034148C">
        <w:t>The agricultural machinery program was strategic in using project money to fund a badly needed resource for both IDP and local farmers and to put this resource in the hands of IDPs</w:t>
      </w:r>
      <w:r w:rsidR="00F71447" w:rsidRPr="0034148C">
        <w:t xml:space="preserve"> and local farmers working together</w:t>
      </w:r>
      <w:r w:rsidRPr="0034148C">
        <w:t xml:space="preserve">. </w:t>
      </w:r>
      <w:r w:rsidR="00F71447" w:rsidRPr="0034148C">
        <w:t xml:space="preserve">High demand for the machinery created a natural mechanism for the local and IDP farmers to interact. Local farmer FGD </w:t>
      </w:r>
      <w:r w:rsidR="00BB3E5E" w:rsidRPr="0034148C">
        <w:t xml:space="preserve">participants </w:t>
      </w:r>
      <w:r w:rsidR="00F71447" w:rsidRPr="0034148C">
        <w:t xml:space="preserve">confirmed that </w:t>
      </w:r>
      <w:r w:rsidR="00BB3E5E" w:rsidRPr="0034148C">
        <w:t>the agricultural machinery groups have assisted the</w:t>
      </w:r>
      <w:r w:rsidR="00F71447" w:rsidRPr="0034148C">
        <w:t>ir</w:t>
      </w:r>
      <w:r w:rsidR="00BB3E5E" w:rsidRPr="0034148C">
        <w:t xml:space="preserve"> closer relationship with IDPs. They also </w:t>
      </w:r>
      <w:r w:rsidR="00EB617C" w:rsidRPr="0034148C">
        <w:t xml:space="preserve">mentioned that they </w:t>
      </w:r>
      <w:r w:rsidR="00BB3E5E" w:rsidRPr="0034148C">
        <w:t>use the same polyclinics with</w:t>
      </w:r>
      <w:r w:rsidR="00EB617C" w:rsidRPr="0034148C">
        <w:t xml:space="preserve"> the</w:t>
      </w:r>
      <w:r w:rsidR="00BB3E5E" w:rsidRPr="0034148C">
        <w:t xml:space="preserve"> IDPs and th</w:t>
      </w:r>
      <w:r w:rsidR="00EB617C" w:rsidRPr="0034148C">
        <w:t>at their</w:t>
      </w:r>
      <w:r w:rsidR="00BB3E5E" w:rsidRPr="0034148C">
        <w:t xml:space="preserve"> children go to the same school. The</w:t>
      </w:r>
      <w:r w:rsidR="00F71447" w:rsidRPr="0034148C">
        <w:t>y said that the</w:t>
      </w:r>
      <w:r w:rsidR="00BB3E5E" w:rsidRPr="0034148C">
        <w:t xml:space="preserve"> relationship</w:t>
      </w:r>
      <w:r w:rsidR="00EB617C" w:rsidRPr="0034148C">
        <w:t>s between IDPs and local community members are</w:t>
      </w:r>
      <w:r w:rsidR="00BB3E5E" w:rsidRPr="0034148C">
        <w:t xml:space="preserve"> good and </w:t>
      </w:r>
      <w:r w:rsidR="00F71447" w:rsidRPr="0034148C">
        <w:t xml:space="preserve">that they </w:t>
      </w:r>
      <w:r w:rsidR="00BB3E5E" w:rsidRPr="0034148C">
        <w:t xml:space="preserve">feel sorry for the displaced people. </w:t>
      </w:r>
      <w:r w:rsidR="00F71447" w:rsidRPr="0034148C">
        <w:t>The IDP participants in the FGDs also said that the g</w:t>
      </w:r>
      <w:r w:rsidR="00A108D5" w:rsidRPr="0034148C">
        <w:t xml:space="preserve">eneral relationship of </w:t>
      </w:r>
      <w:r w:rsidR="00F71447" w:rsidRPr="0034148C">
        <w:t xml:space="preserve">the </w:t>
      </w:r>
      <w:r w:rsidR="00A108D5" w:rsidRPr="0034148C">
        <w:t>displaced and local population is good, and the fact that the</w:t>
      </w:r>
      <w:r w:rsidR="00F71447" w:rsidRPr="0034148C">
        <w:t>re is preference for the</w:t>
      </w:r>
      <w:r w:rsidR="00A108D5" w:rsidRPr="0034148C">
        <w:t xml:space="preserve"> machinery</w:t>
      </w:r>
      <w:r w:rsidR="00F71447" w:rsidRPr="0034148C">
        <w:t xml:space="preserve"> to </w:t>
      </w:r>
      <w:proofErr w:type="gramStart"/>
      <w:r w:rsidR="00F71447" w:rsidRPr="0034148C">
        <w:t>be used</w:t>
      </w:r>
      <w:proofErr w:type="gramEnd"/>
      <w:r w:rsidR="00F71447" w:rsidRPr="0034148C">
        <w:t xml:space="preserve"> to</w:t>
      </w:r>
      <w:r w:rsidR="00A108D5" w:rsidRPr="0034148C">
        <w:t xml:space="preserve"> work</w:t>
      </w:r>
      <w:r w:rsidR="00F71447" w:rsidRPr="0034148C">
        <w:t xml:space="preserve"> the</w:t>
      </w:r>
      <w:r w:rsidR="00A108D5" w:rsidRPr="0034148C">
        <w:t xml:space="preserve"> IDP lands first does not create any tension. </w:t>
      </w:r>
      <w:r w:rsidR="00F71447" w:rsidRPr="0034148C">
        <w:t xml:space="preserve">In fact, while the </w:t>
      </w:r>
      <w:r w:rsidR="00A108D5" w:rsidRPr="0034148C">
        <w:t>IDPs said</w:t>
      </w:r>
      <w:r w:rsidR="00F71447" w:rsidRPr="0034148C">
        <w:t xml:space="preserve"> that </w:t>
      </w:r>
      <w:r w:rsidR="00A108D5" w:rsidRPr="0034148C">
        <w:t>their integration with locals is going well, they co</w:t>
      </w:r>
      <w:r w:rsidR="00F71447" w:rsidRPr="0034148C">
        <w:t>u</w:t>
      </w:r>
      <w:r w:rsidR="00A108D5" w:rsidRPr="0034148C">
        <w:t xml:space="preserve">ld not see </w:t>
      </w:r>
      <w:r w:rsidR="00F71447" w:rsidRPr="0034148C">
        <w:t xml:space="preserve">whether </w:t>
      </w:r>
      <w:r w:rsidR="00A108D5" w:rsidRPr="0034148C">
        <w:t>the machinery groups had anything to do with this.</w:t>
      </w:r>
    </w:p>
    <w:p w:rsidR="0019678C" w:rsidRPr="0034148C" w:rsidRDefault="0019678C" w:rsidP="0019678C">
      <w:pPr>
        <w:pStyle w:val="Heading3"/>
      </w:pPr>
      <w:bookmarkStart w:id="116" w:name="_Toc338717133"/>
      <w:bookmarkStart w:id="117" w:name="_Toc338750164"/>
      <w:bookmarkStart w:id="118" w:name="_Toc339368757"/>
      <w:r w:rsidRPr="0034148C">
        <w:lastRenderedPageBreak/>
        <w:t>4.1.5 Challenges of the program</w:t>
      </w:r>
      <w:bookmarkEnd w:id="116"/>
      <w:bookmarkEnd w:id="117"/>
      <w:bookmarkEnd w:id="118"/>
    </w:p>
    <w:p w:rsidR="00355451" w:rsidRPr="0034148C" w:rsidRDefault="00355451" w:rsidP="00355451">
      <w:r w:rsidRPr="0034148C">
        <w:t xml:space="preserve">The success of the program, and the demand for agricultural machinery, has made it very visible in the project communities, provoking at times some unwanted political attention. CARE staff had to be strategic to ensure that there was no appearance of corruption or political influence on the program. The selection process for the groups included an objective scoring system that was transparent for anyone who wanted further information on the process. Program staff took care </w:t>
      </w:r>
      <w:proofErr w:type="gramStart"/>
      <w:r w:rsidRPr="0034148C">
        <w:t>to thoroughly investigate</w:t>
      </w:r>
      <w:proofErr w:type="gramEnd"/>
      <w:r w:rsidRPr="0034148C">
        <w:t xml:space="preserve"> the intentions and commitment of each group before selection by holding intensive field visits and community meetings. Emphasis </w:t>
      </w:r>
      <w:proofErr w:type="gramStart"/>
      <w:r w:rsidRPr="0034148C">
        <w:t>was placed</w:t>
      </w:r>
      <w:proofErr w:type="gramEnd"/>
      <w:r w:rsidRPr="0034148C">
        <w:t xml:space="preserve"> also on ensuring that the roles and responsibilities of the various group members were clear and that the group had a common vision. One group did dissolve before the end of the project period due to weak leadership and a lack of commitment among group members; </w:t>
      </w:r>
      <w:proofErr w:type="gramStart"/>
      <w:r w:rsidRPr="0034148C">
        <w:t>however</w:t>
      </w:r>
      <w:proofErr w:type="gramEnd"/>
      <w:r w:rsidRPr="0034148C">
        <w:t xml:space="preserve"> a new group was chosen with some of these original members and new leader which is still viable. </w:t>
      </w:r>
    </w:p>
    <w:p w:rsidR="00355451" w:rsidRPr="0034148C" w:rsidRDefault="00355451" w:rsidP="00355451">
      <w:r w:rsidRPr="0034148C">
        <w:t xml:space="preserve">Despite CARE’s efforts to make the selection process fair and transparent, some resentment arose among groups who applied and </w:t>
      </w:r>
      <w:proofErr w:type="gramStart"/>
      <w:r w:rsidRPr="0034148C">
        <w:t>were not selected</w:t>
      </w:r>
      <w:proofErr w:type="gramEnd"/>
      <w:r w:rsidRPr="0034148C">
        <w:t xml:space="preserve">. Political pressure </w:t>
      </w:r>
      <w:proofErr w:type="gramStart"/>
      <w:r w:rsidRPr="0034148C">
        <w:t>was sometimes brought</w:t>
      </w:r>
      <w:proofErr w:type="gramEnd"/>
      <w:r w:rsidRPr="0034148C">
        <w:t xml:space="preserve"> to bear</w:t>
      </w:r>
      <w:r w:rsidR="0086161E" w:rsidRPr="0034148C">
        <w:t xml:space="preserve"> to put pressure to select some groups, but with careful management and transparency there seem to be no continuing problems. </w:t>
      </w:r>
    </w:p>
    <w:p w:rsidR="0086161E" w:rsidRPr="0034148C" w:rsidRDefault="0086161E" w:rsidP="00355451">
      <w:r w:rsidRPr="0034148C">
        <w:t xml:space="preserve">Because the machinery is in such high demand, respondents from the groups </w:t>
      </w:r>
      <w:proofErr w:type="gramStart"/>
      <w:r w:rsidRPr="0034148C">
        <w:t>were asked</w:t>
      </w:r>
      <w:proofErr w:type="gramEnd"/>
      <w:r w:rsidRPr="0034148C">
        <w:t xml:space="preserve"> whether they ran into any problems managing the queues. While they indicated that it did require careful management at times, respondents said that they had not had many complaints from either local or IDP farmers. Local farmers also seemed to accept that IDP farmers had priority to use the machinery.</w:t>
      </w:r>
    </w:p>
    <w:p w:rsidR="00F633CD" w:rsidRPr="0034148C" w:rsidRDefault="00F633CD" w:rsidP="00F633CD">
      <w:pPr>
        <w:pStyle w:val="Heading3"/>
      </w:pPr>
      <w:bookmarkStart w:id="119" w:name="_Toc338572122"/>
      <w:bookmarkStart w:id="120" w:name="_Toc338717134"/>
      <w:bookmarkStart w:id="121" w:name="_Toc338750165"/>
      <w:bookmarkStart w:id="122" w:name="_Toc339368758"/>
      <w:r w:rsidRPr="0034148C">
        <w:t>4.1.5 Sustainability</w:t>
      </w:r>
      <w:bookmarkEnd w:id="119"/>
      <w:r w:rsidR="00F0748E" w:rsidRPr="0034148C">
        <w:t xml:space="preserve"> of the program</w:t>
      </w:r>
      <w:bookmarkEnd w:id="120"/>
      <w:bookmarkEnd w:id="121"/>
      <w:bookmarkEnd w:id="122"/>
    </w:p>
    <w:p w:rsidR="00EB617C" w:rsidRPr="0034148C" w:rsidRDefault="00137AA8" w:rsidP="00A108D5">
      <w:r w:rsidRPr="0034148C">
        <w:t xml:space="preserve">Because most of the IDPs had been farmers in the past, the agricultural machinery project was a natural fit for their skills and background. </w:t>
      </w:r>
      <w:r w:rsidR="006F57C3" w:rsidRPr="0034148C">
        <w:t>From</w:t>
      </w:r>
      <w:r w:rsidR="00A108D5" w:rsidRPr="0034148C">
        <w:t xml:space="preserve"> the point of view of the </w:t>
      </w:r>
      <w:r w:rsidR="006F57C3" w:rsidRPr="0034148C">
        <w:t xml:space="preserve">IDP FGD </w:t>
      </w:r>
      <w:r w:rsidR="00A108D5" w:rsidRPr="0034148C">
        <w:t>participants</w:t>
      </w:r>
      <w:r w:rsidR="006F57C3" w:rsidRPr="0034148C">
        <w:t>,</w:t>
      </w:r>
      <w:r w:rsidR="00A108D5" w:rsidRPr="0034148C">
        <w:t xml:space="preserve"> the machinery groups will continue even without CARE support and will stay comparatively cheap, because there is </w:t>
      </w:r>
      <w:r w:rsidR="003E12CF" w:rsidRPr="0034148C">
        <w:t xml:space="preserve">a </w:t>
      </w:r>
      <w:r w:rsidR="00A108D5" w:rsidRPr="0034148C">
        <w:t>large demand</w:t>
      </w:r>
      <w:r w:rsidR="003E12CF" w:rsidRPr="0034148C">
        <w:t xml:space="preserve"> for their services</w:t>
      </w:r>
      <w:r w:rsidR="00A108D5" w:rsidRPr="0034148C">
        <w:t xml:space="preserve">. Now, the participants said, they need help with fencing the plots and purchasing saplings and, most of all, with solving irrigation problems. </w:t>
      </w:r>
    </w:p>
    <w:p w:rsidR="004517EA" w:rsidRPr="0034148C" w:rsidRDefault="004517EA" w:rsidP="00A108D5">
      <w:r w:rsidRPr="0034148C">
        <w:t>Another reason cited for the success of the program is th</w:t>
      </w:r>
      <w:r w:rsidR="00786058">
        <w:t>at th</w:t>
      </w:r>
      <w:r w:rsidRPr="0034148C">
        <w:t xml:space="preserve">e </w:t>
      </w:r>
      <w:r w:rsidR="00786058">
        <w:t>donor for the program, th</w:t>
      </w:r>
      <w:r w:rsidR="006F42BD">
        <w:t>e</w:t>
      </w:r>
      <w:r w:rsidR="00786058">
        <w:t xml:space="preserve"> Norwegian Ministry of Foreign Affairs (NMFA)</w:t>
      </w:r>
      <w:r w:rsidR="006F42BD">
        <w:t xml:space="preserve">, was </w:t>
      </w:r>
      <w:r w:rsidRPr="0034148C">
        <w:t>flexibl</w:t>
      </w:r>
      <w:r w:rsidR="006F42BD">
        <w:t>e</w:t>
      </w:r>
      <w:r w:rsidRPr="0034148C">
        <w:t xml:space="preserve"> </w:t>
      </w:r>
      <w:r w:rsidR="006F42BD">
        <w:t>about</w:t>
      </w:r>
      <w:r w:rsidRPr="0034148C">
        <w:t xml:space="preserve"> procurement of the machinery. This allowed the project to purchase machinery that the local farmers prefer and are familiar with, </w:t>
      </w:r>
      <w:r w:rsidR="008C4DBA" w:rsidRPr="0034148C">
        <w:t>and have parts that are easily available so that repairs are easier.</w:t>
      </w:r>
    </w:p>
    <w:p w:rsidR="00355451" w:rsidRPr="0034148C" w:rsidRDefault="00355451" w:rsidP="00355451">
      <w:r w:rsidRPr="0034148C">
        <w:t>These steps helped to ensure the success, viability and reputation of the groups and contribute to their sustainability.</w:t>
      </w:r>
    </w:p>
    <w:p w:rsidR="00F633CD" w:rsidRPr="0034148C" w:rsidRDefault="00F633CD" w:rsidP="00F633CD">
      <w:pPr>
        <w:pStyle w:val="Heading3"/>
      </w:pPr>
      <w:bookmarkStart w:id="123" w:name="_Toc338572123"/>
      <w:bookmarkStart w:id="124" w:name="_Toc338717135"/>
      <w:bookmarkStart w:id="125" w:name="_Toc338750166"/>
      <w:bookmarkStart w:id="126" w:name="_Toc339368759"/>
      <w:r w:rsidRPr="0034148C">
        <w:t>4.1.6 Summary</w:t>
      </w:r>
      <w:bookmarkEnd w:id="123"/>
      <w:r w:rsidR="00F0748E" w:rsidRPr="0034148C">
        <w:t xml:space="preserve"> of the Agricultural Machinery program evaluation</w:t>
      </w:r>
      <w:bookmarkEnd w:id="124"/>
      <w:bookmarkEnd w:id="125"/>
      <w:bookmarkEnd w:id="126"/>
    </w:p>
    <w:p w:rsidR="00F633CD" w:rsidRPr="0034148C" w:rsidRDefault="00137AA8" w:rsidP="00137AA8">
      <w:r w:rsidRPr="0034148C">
        <w:t xml:space="preserve">Stakeholders often mentioned the agricultural machinery program as having the most significant impact on the project area communities. </w:t>
      </w:r>
      <w:proofErr w:type="gramStart"/>
      <w:r w:rsidRPr="0034148C">
        <w:t>The project was mentioned by most people interviewed as having a positive change on livelihoods for both IDPs and local residents</w:t>
      </w:r>
      <w:proofErr w:type="gramEnd"/>
      <w:r w:rsidRPr="0034148C">
        <w:t xml:space="preserve">. The </w:t>
      </w:r>
      <w:r w:rsidRPr="0034148C">
        <w:lastRenderedPageBreak/>
        <w:t>nine groups selected for the program have done a good job of managing finances and the machinery, a</w:t>
      </w:r>
      <w:r w:rsidR="00A77F5F" w:rsidRPr="0034148C">
        <w:t>ccording to the monitoring data, FGD participants and individuals interviewed.</w:t>
      </w:r>
    </w:p>
    <w:p w:rsidR="007C33B9" w:rsidRPr="0034148C" w:rsidRDefault="007C33B9" w:rsidP="007C33B9">
      <w:pPr>
        <w:pStyle w:val="Heading2"/>
      </w:pPr>
      <w:bookmarkStart w:id="127" w:name="_Toc338572124"/>
      <w:bookmarkStart w:id="128" w:name="_Toc338717136"/>
      <w:bookmarkStart w:id="129" w:name="_Toc338750167"/>
      <w:bookmarkStart w:id="130" w:name="_Toc339368760"/>
      <w:r w:rsidRPr="0034148C">
        <w:t>4.2 Grants to Women Entrepreneurs</w:t>
      </w:r>
      <w:bookmarkEnd w:id="103"/>
      <w:bookmarkEnd w:id="127"/>
      <w:bookmarkEnd w:id="128"/>
      <w:bookmarkEnd w:id="129"/>
      <w:bookmarkEnd w:id="130"/>
    </w:p>
    <w:p w:rsidR="002301C8" w:rsidRPr="0034148C" w:rsidRDefault="00735A67" w:rsidP="00735A67">
      <w:r w:rsidRPr="0034148C">
        <w:t xml:space="preserve">The second approach </w:t>
      </w:r>
      <w:bookmarkStart w:id="131" w:name="OLE_LINK3"/>
      <w:r w:rsidRPr="0034148C">
        <w:t xml:space="preserve">to income generation </w:t>
      </w:r>
      <w:r w:rsidR="002301C8" w:rsidRPr="0034148C">
        <w:t>wa</w:t>
      </w:r>
      <w:r w:rsidR="009E3033" w:rsidRPr="0034148C">
        <w:t xml:space="preserve">s a scheme to assist women to create their own businesses </w:t>
      </w:r>
      <w:r w:rsidRPr="0034148C">
        <w:t xml:space="preserve">through training and </w:t>
      </w:r>
      <w:r w:rsidR="009E3033" w:rsidRPr="0034148C">
        <w:t xml:space="preserve">the </w:t>
      </w:r>
      <w:r w:rsidRPr="0034148C">
        <w:t>provision of grants</w:t>
      </w:r>
      <w:r w:rsidR="009E3033" w:rsidRPr="0034148C">
        <w:t xml:space="preserve">. </w:t>
      </w:r>
      <w:r w:rsidR="002301C8" w:rsidRPr="0034148C">
        <w:t>The objectives of the project were as follows:</w:t>
      </w:r>
    </w:p>
    <w:p w:rsidR="00765E71" w:rsidRPr="0034148C" w:rsidRDefault="002301C8" w:rsidP="002301C8">
      <w:pPr>
        <w:ind w:firstLine="360"/>
      </w:pPr>
      <w:r w:rsidRPr="0034148C">
        <w:rPr>
          <w:b/>
          <w:bCs/>
        </w:rPr>
        <w:t xml:space="preserve">Enhance livelihoods: </w:t>
      </w:r>
      <w:r w:rsidRPr="0034148C">
        <w:t>The businesses would p</w:t>
      </w:r>
      <w:r w:rsidR="00765E71" w:rsidRPr="0034148C">
        <w:t xml:space="preserve">rovide direct financial support towards </w:t>
      </w:r>
      <w:r w:rsidRPr="0034148C">
        <w:t xml:space="preserve">the </w:t>
      </w:r>
      <w:r w:rsidR="00765E71" w:rsidRPr="0034148C">
        <w:t xml:space="preserve">IDP </w:t>
      </w:r>
      <w:r w:rsidRPr="0034148C">
        <w:t xml:space="preserve">women entrepreneurs’ </w:t>
      </w:r>
      <w:r w:rsidR="00765E71" w:rsidRPr="0034148C">
        <w:t>households</w:t>
      </w:r>
      <w:r w:rsidRPr="0034148C">
        <w:t>.</w:t>
      </w:r>
    </w:p>
    <w:p w:rsidR="002301C8" w:rsidRPr="0034148C" w:rsidRDefault="002301C8" w:rsidP="002301C8">
      <w:pPr>
        <w:ind w:firstLine="360"/>
        <w:rPr>
          <w:b/>
          <w:bCs/>
        </w:rPr>
      </w:pPr>
      <w:r w:rsidRPr="0034148C">
        <w:rPr>
          <w:b/>
          <w:bCs/>
        </w:rPr>
        <w:t xml:space="preserve">Increase skills: </w:t>
      </w:r>
      <w:r w:rsidRPr="0034148C">
        <w:t>The program would provide women with skills training on writing a business plan, accounting, and management</w:t>
      </w:r>
      <w:r w:rsidR="00AA5E4E" w:rsidRPr="0034148C">
        <w:t>.</w:t>
      </w:r>
    </w:p>
    <w:p w:rsidR="00765E71" w:rsidRPr="0034148C" w:rsidRDefault="00A92CB6" w:rsidP="002301C8">
      <w:pPr>
        <w:ind w:firstLine="360"/>
      </w:pPr>
      <w:r w:rsidRPr="0034148C">
        <w:rPr>
          <w:b/>
          <w:bCs/>
        </w:rPr>
        <w:t xml:space="preserve">Create models: </w:t>
      </w:r>
      <w:r w:rsidRPr="0034148C">
        <w:t>S</w:t>
      </w:r>
      <w:r w:rsidR="00765E71" w:rsidRPr="0034148C">
        <w:t xml:space="preserve">uccessful business start-ups </w:t>
      </w:r>
      <w:r w:rsidRPr="0034148C">
        <w:t xml:space="preserve">would demonstrate potential income sources </w:t>
      </w:r>
      <w:r w:rsidR="00765E71" w:rsidRPr="0034148C">
        <w:t>for other community members to emulate</w:t>
      </w:r>
      <w:r w:rsidRPr="0034148C">
        <w:t>.</w:t>
      </w:r>
    </w:p>
    <w:p w:rsidR="00765E71" w:rsidRPr="0034148C" w:rsidRDefault="00765E71" w:rsidP="002301C8">
      <w:pPr>
        <w:ind w:firstLine="360"/>
      </w:pPr>
      <w:r w:rsidRPr="0034148C">
        <w:rPr>
          <w:b/>
          <w:bCs/>
        </w:rPr>
        <w:t>Empower IDP women</w:t>
      </w:r>
      <w:r w:rsidR="00A92CB6" w:rsidRPr="0034148C">
        <w:rPr>
          <w:b/>
          <w:bCs/>
        </w:rPr>
        <w:t xml:space="preserve">: </w:t>
      </w:r>
      <w:r w:rsidRPr="0034148C">
        <w:t xml:space="preserve"> </w:t>
      </w:r>
      <w:r w:rsidR="00A92CB6" w:rsidRPr="0034148C">
        <w:t>An acknowledged goal of the initiative was to empower women in a traditionally male-dominated society, in line with C</w:t>
      </w:r>
      <w:r w:rsidR="001F3A03">
        <w:t xml:space="preserve">ARE’s support of UN </w:t>
      </w:r>
      <w:r w:rsidR="001F3A03" w:rsidRPr="002739D5">
        <w:t>Resolution 1</w:t>
      </w:r>
      <w:r w:rsidR="00A92CB6" w:rsidRPr="002739D5">
        <w:t>325</w:t>
      </w:r>
      <w:r w:rsidR="00A92CB6" w:rsidRPr="0034148C">
        <w:rPr>
          <w:rFonts w:ascii="Arial" w:hAnsi="Arial" w:cs="Arial"/>
        </w:rPr>
        <w:t>.</w:t>
      </w:r>
      <w:r w:rsidRPr="0034148C">
        <w:t xml:space="preserve"> </w:t>
      </w:r>
      <w:r w:rsidR="00A92CB6" w:rsidRPr="0034148C">
        <w:t xml:space="preserve">Successful businesses would </w:t>
      </w:r>
      <w:r w:rsidRPr="0034148C">
        <w:t>challeng</w:t>
      </w:r>
      <w:r w:rsidR="00A92CB6" w:rsidRPr="0034148C">
        <w:t>e</w:t>
      </w:r>
      <w:r w:rsidRPr="0034148C">
        <w:t xml:space="preserve"> traditional stereotypes about the role of women in Georgian society</w:t>
      </w:r>
      <w:r w:rsidR="00A92CB6" w:rsidRPr="0034148C">
        <w:t>.</w:t>
      </w:r>
      <w:r w:rsidRPr="0034148C">
        <w:t xml:space="preserve"> </w:t>
      </w:r>
    </w:p>
    <w:p w:rsidR="00765E71" w:rsidRPr="0034148C" w:rsidRDefault="00765E71" w:rsidP="002301C8">
      <w:pPr>
        <w:ind w:firstLine="360"/>
      </w:pPr>
      <w:r w:rsidRPr="0034148C">
        <w:rPr>
          <w:b/>
          <w:bCs/>
        </w:rPr>
        <w:t>Increase integration</w:t>
      </w:r>
      <w:r w:rsidRPr="0034148C">
        <w:t xml:space="preserve"> </w:t>
      </w:r>
      <w:r w:rsidRPr="0034148C">
        <w:rPr>
          <w:b/>
          <w:bCs/>
        </w:rPr>
        <w:t>with the local community</w:t>
      </w:r>
      <w:r w:rsidR="00A92CB6" w:rsidRPr="0034148C">
        <w:t xml:space="preserve">: Successful businesses would attract the local community to </w:t>
      </w:r>
      <w:r w:rsidRPr="0034148C">
        <w:t>become custo</w:t>
      </w:r>
      <w:r w:rsidR="00A92CB6" w:rsidRPr="0034148C">
        <w:t>mers, and create opportunities for interaction and relationships between IDPs and non-IDPs.</w:t>
      </w:r>
    </w:p>
    <w:p w:rsidR="00983C42" w:rsidRPr="0034148C" w:rsidRDefault="00983C42" w:rsidP="00735A67">
      <w:r w:rsidRPr="0034148C">
        <w:t>Project outputs as defined in the logical framework were to have 84 functioning small businesses by the end of the project period, contributing to the specific objective of increasing household incomes by 20%.</w:t>
      </w:r>
    </w:p>
    <w:p w:rsidR="00735A67" w:rsidRPr="0034148C" w:rsidRDefault="00765E71" w:rsidP="00735A67">
      <w:r w:rsidRPr="0034148C">
        <w:t xml:space="preserve">The effectiveness of the program </w:t>
      </w:r>
      <w:proofErr w:type="gramStart"/>
      <w:r w:rsidRPr="0034148C">
        <w:t>is evaluated</w:t>
      </w:r>
      <w:proofErr w:type="gramEnd"/>
      <w:r w:rsidRPr="0034148C">
        <w:t xml:space="preserve"> in this section by presenting quantitative and qualitative evidence for meeting these objectives.</w:t>
      </w:r>
    </w:p>
    <w:p w:rsidR="000F3AE8" w:rsidRPr="0034148C" w:rsidRDefault="006C7A62" w:rsidP="006C7A62">
      <w:pPr>
        <w:pStyle w:val="Heading3"/>
      </w:pPr>
      <w:bookmarkStart w:id="132" w:name="_Toc338325590"/>
      <w:bookmarkStart w:id="133" w:name="_Toc338572125"/>
      <w:bookmarkStart w:id="134" w:name="_Toc338717137"/>
      <w:bookmarkStart w:id="135" w:name="_Toc338750168"/>
      <w:bookmarkStart w:id="136" w:name="_Toc339368761"/>
      <w:r w:rsidRPr="0034148C">
        <w:t xml:space="preserve">4.2.1 </w:t>
      </w:r>
      <w:r w:rsidR="000F3AE8" w:rsidRPr="0034148C">
        <w:t>Achievements of the program</w:t>
      </w:r>
      <w:bookmarkEnd w:id="132"/>
      <w:bookmarkEnd w:id="133"/>
      <w:bookmarkEnd w:id="134"/>
      <w:bookmarkEnd w:id="135"/>
      <w:bookmarkEnd w:id="136"/>
    </w:p>
    <w:p w:rsidR="001D351B" w:rsidRPr="0034148C" w:rsidRDefault="001D351B" w:rsidP="000F3AE8">
      <w:r w:rsidRPr="0034148C">
        <w:t>The one-year evaluation of the SIIMS project noted that the women entrepreneurs’ project was somewhat behind in meeting project targets</w:t>
      </w:r>
      <w:r w:rsidR="00246068">
        <w:t xml:space="preserve"> (Jafarli, 2010)</w:t>
      </w:r>
      <w:r w:rsidRPr="0034148C">
        <w:t xml:space="preserve">. This was mainly due to a lack of feasible proposals for small businesses and the need to take appropriate care in selection. The report recommended that the project should fund more agricultural projects as there is a limit to how many service and retail businesses could be sustained by the communities, especially in the case of duplicate businesses such as grocery shops and </w:t>
      </w:r>
      <w:proofErr w:type="gramStart"/>
      <w:r w:rsidRPr="0034148C">
        <w:t>barber shops</w:t>
      </w:r>
      <w:proofErr w:type="gramEnd"/>
      <w:r w:rsidRPr="0034148C">
        <w:t>. The study suggested that agricultural products could be developed for the surrounding urban markets and be very profitable.</w:t>
      </w:r>
    </w:p>
    <w:p w:rsidR="000F3AE8" w:rsidRPr="0034148C" w:rsidRDefault="000F3AE8" w:rsidP="000F3AE8">
      <w:r w:rsidRPr="0034148C">
        <w:t>Between April 2010 and June 2012, the program gave grants to 86 IDP women to initiate 83 small businesses (</w:t>
      </w:r>
      <w:proofErr w:type="gramStart"/>
      <w:r w:rsidRPr="0034148C">
        <w:t>3</w:t>
      </w:r>
      <w:proofErr w:type="gramEnd"/>
      <w:r w:rsidRPr="0034148C">
        <w:t xml:space="preserve"> of the businesses were started by two women grantees working as partners).</w:t>
      </w:r>
      <w:r w:rsidR="00A757A1" w:rsidRPr="0034148C">
        <w:t xml:space="preserve"> </w:t>
      </w:r>
      <w:r w:rsidR="00A757A1" w:rsidRPr="0034148C">
        <w:lastRenderedPageBreak/>
        <w:t xml:space="preserve">Three rounds of grant competition and training </w:t>
      </w:r>
      <w:proofErr w:type="gramStart"/>
      <w:r w:rsidR="00A757A1" w:rsidRPr="0034148C">
        <w:t>were held</w:t>
      </w:r>
      <w:proofErr w:type="gramEnd"/>
      <w:r w:rsidR="00A757A1" w:rsidRPr="0034148C">
        <w:t>, beginning in April 2010, March 2011 and January 2011</w:t>
      </w:r>
      <w:r w:rsidR="00765E71" w:rsidRPr="0034148C">
        <w:t xml:space="preserve"> respectively</w:t>
      </w:r>
      <w:r w:rsidR="00A757A1" w:rsidRPr="0034148C">
        <w:t xml:space="preserve">. A summary of the types of businesses funded by round </w:t>
      </w:r>
      <w:proofErr w:type="gramStart"/>
      <w:r w:rsidR="00A757A1" w:rsidRPr="0034148C">
        <w:t>is shown</w:t>
      </w:r>
      <w:proofErr w:type="gramEnd"/>
      <w:r w:rsidR="00A757A1" w:rsidRPr="0034148C">
        <w:t xml:space="preserve"> in </w:t>
      </w:r>
      <w:r w:rsidR="006117F8">
        <w:t xml:space="preserve">column 1 of </w:t>
      </w:r>
      <w:r w:rsidR="00A757A1" w:rsidRPr="0034148C">
        <w:t>Table 4.2.1.</w:t>
      </w:r>
      <w:r w:rsidR="00E65D7D" w:rsidRPr="0034148C">
        <w:t xml:space="preserve"> Service enterprises were the most common type of business funded (35 of the 83 businesses) followed by sales enterprises (23), agriculture production enterprises (19) and finally other types of </w:t>
      </w:r>
      <w:r w:rsidR="00F81BC6" w:rsidRPr="0034148C">
        <w:t>production (6). The latter group included the production of semi-manufactured goods, bakeries and the like.</w:t>
      </w:r>
    </w:p>
    <w:p w:rsidR="00984BFD" w:rsidRPr="0034148C" w:rsidRDefault="00984BFD" w:rsidP="00984BFD">
      <w:pPr>
        <w:pStyle w:val="Heading4"/>
      </w:pPr>
      <w:bookmarkStart w:id="137" w:name="_Toc338717193"/>
      <w:bookmarkStart w:id="138" w:name="_Toc338750267"/>
      <w:bookmarkStart w:id="139" w:name="_Toc339368879"/>
      <w:r w:rsidRPr="0034148C">
        <w:t xml:space="preserve">Table 4.2.1 </w:t>
      </w:r>
      <w:r w:rsidR="00022568" w:rsidRPr="0034148C">
        <w:t>N</w:t>
      </w:r>
      <w:r w:rsidRPr="0034148C">
        <w:t xml:space="preserve">umber of </w:t>
      </w:r>
      <w:r w:rsidR="00F0748E" w:rsidRPr="0034148C">
        <w:t>businesses funded by the grants to women entrepreneurs program by type of enterprise, operational status and profitability</w:t>
      </w:r>
      <w:bookmarkEnd w:id="137"/>
      <w:bookmarkEnd w:id="138"/>
      <w:bookmarkEnd w:id="139"/>
    </w:p>
    <w:tbl>
      <w:tblPr>
        <w:tblStyle w:val="TableGrid"/>
        <w:tblW w:w="5001" w:type="pct"/>
        <w:tblLayout w:type="fixed"/>
        <w:tblLook w:val="04A0"/>
      </w:tblPr>
      <w:tblGrid>
        <w:gridCol w:w="1807"/>
        <w:gridCol w:w="551"/>
        <w:gridCol w:w="612"/>
        <w:gridCol w:w="638"/>
        <w:gridCol w:w="591"/>
        <w:gridCol w:w="631"/>
        <w:gridCol w:w="698"/>
        <w:gridCol w:w="612"/>
        <w:gridCol w:w="756"/>
        <w:gridCol w:w="612"/>
        <w:gridCol w:w="773"/>
        <w:gridCol w:w="612"/>
        <w:gridCol w:w="685"/>
      </w:tblGrid>
      <w:tr w:rsidR="00984BFD" w:rsidRPr="0034148C" w:rsidTr="00701151">
        <w:tc>
          <w:tcPr>
            <w:tcW w:w="1807" w:type="dxa"/>
            <w:tcBorders>
              <w:left w:val="single" w:sz="18" w:space="0" w:color="auto"/>
              <w:right w:val="single" w:sz="18" w:space="0" w:color="auto"/>
            </w:tcBorders>
          </w:tcPr>
          <w:p w:rsidR="00984BFD" w:rsidRPr="0034148C" w:rsidRDefault="00984BFD" w:rsidP="00382C58">
            <w:pPr>
              <w:spacing w:after="0"/>
              <w:rPr>
                <w:rFonts w:asciiTheme="minorHAnsi" w:hAnsiTheme="minorHAnsi" w:cstheme="minorHAnsi"/>
                <w:b/>
                <w:bCs/>
                <w:sz w:val="20"/>
                <w:szCs w:val="20"/>
              </w:rPr>
            </w:pPr>
          </w:p>
        </w:tc>
        <w:tc>
          <w:tcPr>
            <w:tcW w:w="2392" w:type="dxa"/>
            <w:gridSpan w:val="4"/>
            <w:tcBorders>
              <w:left w:val="single" w:sz="18" w:space="0" w:color="auto"/>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(1)</w:t>
            </w:r>
          </w:p>
        </w:tc>
        <w:tc>
          <w:tcPr>
            <w:tcW w:w="1329" w:type="dxa"/>
            <w:gridSpan w:val="2"/>
            <w:tcBorders>
              <w:left w:val="single" w:sz="18" w:space="0" w:color="auto"/>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(2)</w:t>
            </w:r>
          </w:p>
        </w:tc>
        <w:tc>
          <w:tcPr>
            <w:tcW w:w="1368" w:type="dxa"/>
            <w:gridSpan w:val="2"/>
            <w:tcBorders>
              <w:left w:val="single" w:sz="18" w:space="0" w:color="auto"/>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(3)</w:t>
            </w:r>
          </w:p>
        </w:tc>
        <w:tc>
          <w:tcPr>
            <w:tcW w:w="1385" w:type="dxa"/>
            <w:gridSpan w:val="2"/>
            <w:tcBorders>
              <w:left w:val="single" w:sz="18" w:space="0" w:color="auto"/>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(4)</w:t>
            </w:r>
          </w:p>
        </w:tc>
        <w:tc>
          <w:tcPr>
            <w:tcW w:w="1297" w:type="dxa"/>
            <w:gridSpan w:val="2"/>
            <w:tcBorders>
              <w:left w:val="single" w:sz="18" w:space="0" w:color="auto"/>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 xml:space="preserve">(5) </w:t>
            </w:r>
          </w:p>
        </w:tc>
      </w:tr>
      <w:tr w:rsidR="00984BFD" w:rsidRPr="0034148C" w:rsidTr="00701151">
        <w:tc>
          <w:tcPr>
            <w:tcW w:w="1807" w:type="dxa"/>
            <w:tcBorders>
              <w:left w:val="single" w:sz="18" w:space="0" w:color="auto"/>
              <w:right w:val="single" w:sz="18" w:space="0" w:color="auto"/>
            </w:tcBorders>
          </w:tcPr>
          <w:p w:rsidR="00984BFD" w:rsidRPr="0034148C" w:rsidRDefault="00984BFD" w:rsidP="00382C58">
            <w:pPr>
              <w:spacing w:after="0"/>
              <w:rPr>
                <w:rFonts w:asciiTheme="minorHAnsi" w:hAnsiTheme="minorHAnsi" w:cstheme="minorHAnsi"/>
                <w:b/>
                <w:bCs/>
                <w:sz w:val="20"/>
                <w:szCs w:val="20"/>
              </w:rPr>
            </w:pPr>
          </w:p>
        </w:tc>
        <w:tc>
          <w:tcPr>
            <w:tcW w:w="2392" w:type="dxa"/>
            <w:gridSpan w:val="4"/>
            <w:tcBorders>
              <w:left w:val="single" w:sz="18" w:space="0" w:color="auto"/>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Funded</w:t>
            </w:r>
          </w:p>
        </w:tc>
        <w:tc>
          <w:tcPr>
            <w:tcW w:w="1329" w:type="dxa"/>
            <w:gridSpan w:val="2"/>
            <w:tcBorders>
              <w:left w:val="single" w:sz="18" w:space="0" w:color="auto"/>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Ever operated</w:t>
            </w:r>
          </w:p>
        </w:tc>
        <w:tc>
          <w:tcPr>
            <w:tcW w:w="1368" w:type="dxa"/>
            <w:gridSpan w:val="2"/>
            <w:tcBorders>
              <w:left w:val="single" w:sz="18" w:space="0" w:color="auto"/>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Still operating</w:t>
            </w:r>
          </w:p>
        </w:tc>
        <w:tc>
          <w:tcPr>
            <w:tcW w:w="1385" w:type="dxa"/>
            <w:gridSpan w:val="2"/>
            <w:tcBorders>
              <w:left w:val="single" w:sz="18" w:space="0" w:color="auto"/>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Made a net profit</w:t>
            </w:r>
          </w:p>
        </w:tc>
        <w:tc>
          <w:tcPr>
            <w:tcW w:w="1297" w:type="dxa"/>
            <w:gridSpan w:val="2"/>
            <w:tcBorders>
              <w:left w:val="single" w:sz="18" w:space="0" w:color="auto"/>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Made a profit if grant deducted</w:t>
            </w:r>
          </w:p>
        </w:tc>
      </w:tr>
      <w:tr w:rsidR="00984BFD" w:rsidRPr="0034148C" w:rsidTr="00701151">
        <w:tc>
          <w:tcPr>
            <w:tcW w:w="1807" w:type="dxa"/>
            <w:tcBorders>
              <w:left w:val="single" w:sz="18" w:space="0" w:color="auto"/>
              <w:right w:val="single" w:sz="18" w:space="0" w:color="auto"/>
            </w:tcBorders>
          </w:tcPr>
          <w:p w:rsidR="00984BFD" w:rsidRPr="0034148C" w:rsidRDefault="00984BFD" w:rsidP="00382C58">
            <w:pPr>
              <w:spacing w:after="0"/>
              <w:jc w:val="left"/>
              <w:rPr>
                <w:rFonts w:asciiTheme="minorHAnsi" w:hAnsiTheme="minorHAnsi" w:cstheme="minorHAnsi"/>
                <w:b/>
                <w:bCs/>
                <w:sz w:val="20"/>
                <w:szCs w:val="20"/>
              </w:rPr>
            </w:pPr>
            <w:r w:rsidRPr="0034148C">
              <w:rPr>
                <w:rFonts w:asciiTheme="minorHAnsi" w:hAnsiTheme="minorHAnsi" w:cstheme="minorHAnsi"/>
                <w:b/>
                <w:bCs/>
                <w:sz w:val="20"/>
                <w:szCs w:val="20"/>
              </w:rPr>
              <w:t>Type of enterprise</w:t>
            </w:r>
            <w:r w:rsidRPr="0034148C">
              <w:rPr>
                <w:rStyle w:val="FootnoteReference"/>
                <w:rFonts w:asciiTheme="minorHAnsi" w:hAnsiTheme="minorHAnsi" w:cstheme="minorHAnsi"/>
                <w:b/>
                <w:bCs/>
                <w:sz w:val="20"/>
                <w:szCs w:val="20"/>
              </w:rPr>
              <w:footnoteReference w:id="2"/>
            </w:r>
          </w:p>
        </w:tc>
        <w:tc>
          <w:tcPr>
            <w:tcW w:w="551" w:type="dxa"/>
            <w:tcBorders>
              <w:lef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1</w:t>
            </w:r>
          </w:p>
        </w:tc>
        <w:tc>
          <w:tcPr>
            <w:tcW w:w="612" w:type="dxa"/>
          </w:tcPr>
          <w:p w:rsidR="00984BFD" w:rsidRPr="0034148C" w:rsidRDefault="00984BFD" w:rsidP="00382C58">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2</w:t>
            </w:r>
          </w:p>
        </w:tc>
        <w:tc>
          <w:tcPr>
            <w:tcW w:w="638" w:type="dxa"/>
          </w:tcPr>
          <w:p w:rsidR="00984BFD" w:rsidRPr="0034148C" w:rsidRDefault="00984BFD" w:rsidP="00382C58">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3</w:t>
            </w:r>
          </w:p>
        </w:tc>
        <w:tc>
          <w:tcPr>
            <w:tcW w:w="591" w:type="dxa"/>
            <w:tcBorders>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Totl</w:t>
            </w:r>
            <w:proofErr w:type="spellEnd"/>
          </w:p>
        </w:tc>
        <w:tc>
          <w:tcPr>
            <w:tcW w:w="631" w:type="dxa"/>
            <w:tcBorders>
              <w:lef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w:t>
            </w:r>
          </w:p>
        </w:tc>
        <w:tc>
          <w:tcPr>
            <w:tcW w:w="698" w:type="dxa"/>
            <w:tcBorders>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w:t>
            </w:r>
          </w:p>
        </w:tc>
        <w:tc>
          <w:tcPr>
            <w:tcW w:w="612" w:type="dxa"/>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w:t>
            </w:r>
          </w:p>
        </w:tc>
        <w:tc>
          <w:tcPr>
            <w:tcW w:w="756" w:type="dxa"/>
            <w:tcBorders>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w:t>
            </w:r>
          </w:p>
        </w:tc>
        <w:tc>
          <w:tcPr>
            <w:tcW w:w="612" w:type="dxa"/>
            <w:tcBorders>
              <w:lef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w:t>
            </w:r>
          </w:p>
        </w:tc>
        <w:tc>
          <w:tcPr>
            <w:tcW w:w="773" w:type="dxa"/>
            <w:tcBorders>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w:t>
            </w:r>
          </w:p>
        </w:tc>
        <w:tc>
          <w:tcPr>
            <w:tcW w:w="612" w:type="dxa"/>
            <w:tcBorders>
              <w:lef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w:t>
            </w:r>
          </w:p>
        </w:tc>
        <w:tc>
          <w:tcPr>
            <w:tcW w:w="685" w:type="dxa"/>
            <w:tcBorders>
              <w:right w:val="single" w:sz="18" w:space="0" w:color="auto"/>
            </w:tcBorders>
          </w:tcPr>
          <w:p w:rsidR="00984BFD" w:rsidRPr="0034148C" w:rsidRDefault="00984BFD" w:rsidP="00382C58">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w:t>
            </w:r>
          </w:p>
        </w:tc>
      </w:tr>
      <w:tr w:rsidR="00701151" w:rsidRPr="0034148C" w:rsidTr="00701151">
        <w:tc>
          <w:tcPr>
            <w:tcW w:w="1807" w:type="dxa"/>
            <w:tcBorders>
              <w:left w:val="single" w:sz="18" w:space="0" w:color="auto"/>
              <w:right w:val="single" w:sz="18" w:space="0" w:color="auto"/>
            </w:tcBorders>
          </w:tcPr>
          <w:p w:rsidR="00701151" w:rsidRPr="0034148C" w:rsidRDefault="00701151" w:rsidP="00382C58">
            <w:pPr>
              <w:spacing w:after="0"/>
              <w:rPr>
                <w:rFonts w:asciiTheme="minorHAnsi" w:hAnsiTheme="minorHAnsi" w:cstheme="minorHAnsi"/>
                <w:sz w:val="20"/>
                <w:szCs w:val="20"/>
              </w:rPr>
            </w:pPr>
            <w:r w:rsidRPr="0034148C">
              <w:rPr>
                <w:rFonts w:asciiTheme="minorHAnsi" w:hAnsiTheme="minorHAnsi" w:cstheme="minorHAnsi"/>
                <w:sz w:val="20"/>
                <w:szCs w:val="20"/>
              </w:rPr>
              <w:t xml:space="preserve">Sales </w:t>
            </w:r>
          </w:p>
        </w:tc>
        <w:tc>
          <w:tcPr>
            <w:tcW w:w="551"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10</w:t>
            </w:r>
          </w:p>
        </w:tc>
        <w:tc>
          <w:tcPr>
            <w:tcW w:w="612" w:type="dxa"/>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7</w:t>
            </w:r>
          </w:p>
        </w:tc>
        <w:tc>
          <w:tcPr>
            <w:tcW w:w="638" w:type="dxa"/>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6</w:t>
            </w:r>
          </w:p>
        </w:tc>
        <w:tc>
          <w:tcPr>
            <w:tcW w:w="591" w:type="dxa"/>
            <w:tcBorders>
              <w:right w:val="single" w:sz="18" w:space="0" w:color="auto"/>
            </w:tcBorders>
            <w:vAlign w:val="bottom"/>
          </w:tcPr>
          <w:p w:rsidR="00701151" w:rsidRPr="0034148C" w:rsidRDefault="00701151" w:rsidP="00382C58">
            <w:pPr>
              <w:spacing w:after="0"/>
              <w:jc w:val="right"/>
              <w:rPr>
                <w:rFonts w:asciiTheme="minorHAnsi" w:hAnsiTheme="minorHAnsi" w:cstheme="minorHAnsi"/>
                <w:b/>
                <w:bCs/>
                <w:sz w:val="20"/>
                <w:szCs w:val="20"/>
              </w:rPr>
            </w:pPr>
            <w:r w:rsidRPr="0034148C">
              <w:rPr>
                <w:rFonts w:asciiTheme="minorHAnsi" w:hAnsiTheme="minorHAnsi" w:cstheme="minorHAnsi"/>
                <w:b/>
                <w:bCs/>
                <w:sz w:val="20"/>
                <w:szCs w:val="20"/>
              </w:rPr>
              <w:t>23</w:t>
            </w:r>
          </w:p>
        </w:tc>
        <w:tc>
          <w:tcPr>
            <w:tcW w:w="631"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23</w:t>
            </w:r>
          </w:p>
        </w:tc>
        <w:tc>
          <w:tcPr>
            <w:tcW w:w="698" w:type="dxa"/>
            <w:tcBorders>
              <w:righ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100%</w:t>
            </w:r>
          </w:p>
        </w:tc>
        <w:tc>
          <w:tcPr>
            <w:tcW w:w="612" w:type="dxa"/>
          </w:tcPr>
          <w:p w:rsidR="00701151" w:rsidRPr="0034148C" w:rsidRDefault="00701151" w:rsidP="00382C58">
            <w:pPr>
              <w:spacing w:after="0"/>
              <w:jc w:val="right"/>
              <w:rPr>
                <w:rFonts w:asciiTheme="minorHAnsi" w:hAnsiTheme="minorHAnsi" w:cstheme="minorHAnsi"/>
                <w:sz w:val="20"/>
                <w:szCs w:val="20"/>
              </w:rPr>
            </w:pPr>
            <w:r>
              <w:rPr>
                <w:rFonts w:asciiTheme="minorHAnsi" w:hAnsiTheme="minorHAnsi" w:cstheme="minorHAnsi"/>
                <w:sz w:val="20"/>
                <w:szCs w:val="20"/>
              </w:rPr>
              <w:t>21</w:t>
            </w:r>
          </w:p>
        </w:tc>
        <w:tc>
          <w:tcPr>
            <w:tcW w:w="756" w:type="dxa"/>
            <w:tcBorders>
              <w:right w:val="single" w:sz="18" w:space="0" w:color="auto"/>
            </w:tcBorders>
          </w:tcPr>
          <w:p w:rsidR="00701151" w:rsidRPr="0034148C" w:rsidRDefault="00701151" w:rsidP="00382C58">
            <w:pPr>
              <w:spacing w:after="0"/>
              <w:jc w:val="right"/>
              <w:rPr>
                <w:rFonts w:asciiTheme="minorHAnsi" w:hAnsiTheme="minorHAnsi" w:cstheme="minorHAnsi"/>
                <w:sz w:val="20"/>
                <w:szCs w:val="20"/>
              </w:rPr>
            </w:pPr>
            <w:r>
              <w:rPr>
                <w:rFonts w:asciiTheme="minorHAnsi" w:hAnsiTheme="minorHAnsi" w:cstheme="minorHAnsi"/>
                <w:sz w:val="20"/>
                <w:szCs w:val="20"/>
              </w:rPr>
              <w:t>91%</w:t>
            </w:r>
          </w:p>
        </w:tc>
        <w:tc>
          <w:tcPr>
            <w:tcW w:w="612"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23</w:t>
            </w:r>
          </w:p>
        </w:tc>
        <w:tc>
          <w:tcPr>
            <w:tcW w:w="773" w:type="dxa"/>
            <w:tcBorders>
              <w:right w:val="single" w:sz="18" w:space="0" w:color="auto"/>
            </w:tcBorders>
            <w:vAlign w:val="center"/>
          </w:tcPr>
          <w:p w:rsidR="00701151" w:rsidRPr="0034148C" w:rsidRDefault="00701151" w:rsidP="001475A1">
            <w:pPr>
              <w:spacing w:after="0"/>
              <w:jc w:val="right"/>
              <w:rPr>
                <w:rFonts w:asciiTheme="minorHAnsi" w:hAnsiTheme="minorHAnsi" w:cstheme="minorHAnsi"/>
                <w:sz w:val="20"/>
                <w:szCs w:val="20"/>
              </w:rPr>
            </w:pPr>
            <w:r w:rsidRPr="0034148C">
              <w:rPr>
                <w:rFonts w:asciiTheme="minorHAnsi" w:hAnsiTheme="minorHAnsi" w:cstheme="minorHAnsi"/>
                <w:sz w:val="20"/>
                <w:szCs w:val="20"/>
              </w:rPr>
              <w:t>100%</w:t>
            </w:r>
          </w:p>
        </w:tc>
        <w:tc>
          <w:tcPr>
            <w:tcW w:w="612" w:type="dxa"/>
            <w:tcBorders>
              <w:left w:val="single" w:sz="18" w:space="0" w:color="auto"/>
            </w:tcBorders>
            <w:vAlign w:val="center"/>
          </w:tcPr>
          <w:p w:rsidR="00701151" w:rsidRPr="0034148C" w:rsidRDefault="002F7D2A" w:rsidP="00382C58">
            <w:pPr>
              <w:spacing w:after="0"/>
              <w:jc w:val="right"/>
              <w:rPr>
                <w:rFonts w:asciiTheme="minorHAnsi" w:hAnsiTheme="minorHAnsi" w:cstheme="minorHAnsi"/>
                <w:sz w:val="20"/>
                <w:szCs w:val="20"/>
              </w:rPr>
            </w:pPr>
            <w:r>
              <w:rPr>
                <w:rFonts w:asciiTheme="minorHAnsi" w:hAnsiTheme="minorHAnsi" w:cstheme="minorHAnsi"/>
                <w:sz w:val="20"/>
                <w:szCs w:val="20"/>
              </w:rPr>
              <w:t>18</w:t>
            </w:r>
          </w:p>
        </w:tc>
        <w:tc>
          <w:tcPr>
            <w:tcW w:w="685" w:type="dxa"/>
            <w:tcBorders>
              <w:right w:val="single" w:sz="18" w:space="0" w:color="auto"/>
            </w:tcBorders>
            <w:vAlign w:val="center"/>
          </w:tcPr>
          <w:p w:rsidR="00701151" w:rsidRPr="0034148C" w:rsidRDefault="00BB304D" w:rsidP="001475A1">
            <w:pPr>
              <w:spacing w:after="0"/>
              <w:jc w:val="right"/>
              <w:rPr>
                <w:rFonts w:asciiTheme="minorHAnsi" w:hAnsiTheme="minorHAnsi" w:cstheme="minorHAnsi"/>
                <w:sz w:val="20"/>
                <w:szCs w:val="20"/>
              </w:rPr>
            </w:pPr>
            <w:r>
              <w:rPr>
                <w:rFonts w:asciiTheme="minorHAnsi" w:hAnsiTheme="minorHAnsi" w:cstheme="minorHAnsi"/>
                <w:sz w:val="20"/>
                <w:szCs w:val="20"/>
              </w:rPr>
              <w:t>78</w:t>
            </w:r>
            <w:r w:rsidR="00701151" w:rsidRPr="0034148C">
              <w:rPr>
                <w:rFonts w:asciiTheme="minorHAnsi" w:hAnsiTheme="minorHAnsi" w:cstheme="minorHAnsi"/>
                <w:sz w:val="20"/>
                <w:szCs w:val="20"/>
              </w:rPr>
              <w:t>%</w:t>
            </w:r>
          </w:p>
        </w:tc>
      </w:tr>
      <w:tr w:rsidR="00701151" w:rsidRPr="0034148C" w:rsidTr="00701151">
        <w:tc>
          <w:tcPr>
            <w:tcW w:w="1807" w:type="dxa"/>
            <w:tcBorders>
              <w:left w:val="single" w:sz="18" w:space="0" w:color="auto"/>
              <w:right w:val="single" w:sz="18" w:space="0" w:color="auto"/>
            </w:tcBorders>
          </w:tcPr>
          <w:p w:rsidR="00701151" w:rsidRPr="0034148C" w:rsidRDefault="00701151" w:rsidP="00382C58">
            <w:pPr>
              <w:spacing w:after="0"/>
              <w:rPr>
                <w:rFonts w:asciiTheme="minorHAnsi" w:hAnsiTheme="minorHAnsi" w:cstheme="minorHAnsi"/>
                <w:sz w:val="20"/>
                <w:szCs w:val="20"/>
              </w:rPr>
            </w:pPr>
            <w:r w:rsidRPr="0034148C">
              <w:rPr>
                <w:rFonts w:asciiTheme="minorHAnsi" w:hAnsiTheme="minorHAnsi" w:cstheme="minorHAnsi"/>
                <w:sz w:val="20"/>
                <w:szCs w:val="20"/>
              </w:rPr>
              <w:t>Services</w:t>
            </w:r>
          </w:p>
        </w:tc>
        <w:tc>
          <w:tcPr>
            <w:tcW w:w="551"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10</w:t>
            </w:r>
          </w:p>
        </w:tc>
        <w:tc>
          <w:tcPr>
            <w:tcW w:w="612" w:type="dxa"/>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16</w:t>
            </w:r>
          </w:p>
        </w:tc>
        <w:tc>
          <w:tcPr>
            <w:tcW w:w="638" w:type="dxa"/>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9</w:t>
            </w:r>
          </w:p>
        </w:tc>
        <w:tc>
          <w:tcPr>
            <w:tcW w:w="591" w:type="dxa"/>
            <w:tcBorders>
              <w:right w:val="single" w:sz="18" w:space="0" w:color="auto"/>
            </w:tcBorders>
            <w:vAlign w:val="bottom"/>
          </w:tcPr>
          <w:p w:rsidR="00701151" w:rsidRPr="0034148C" w:rsidRDefault="00701151" w:rsidP="00382C58">
            <w:pPr>
              <w:spacing w:after="0"/>
              <w:jc w:val="right"/>
              <w:rPr>
                <w:rFonts w:asciiTheme="minorHAnsi" w:hAnsiTheme="minorHAnsi" w:cstheme="minorHAnsi"/>
                <w:b/>
                <w:bCs/>
                <w:sz w:val="20"/>
                <w:szCs w:val="20"/>
              </w:rPr>
            </w:pPr>
            <w:r w:rsidRPr="0034148C">
              <w:rPr>
                <w:rFonts w:asciiTheme="minorHAnsi" w:hAnsiTheme="minorHAnsi" w:cstheme="minorHAnsi"/>
                <w:b/>
                <w:bCs/>
                <w:sz w:val="20"/>
                <w:szCs w:val="20"/>
              </w:rPr>
              <w:t>35</w:t>
            </w:r>
          </w:p>
        </w:tc>
        <w:tc>
          <w:tcPr>
            <w:tcW w:w="631"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34</w:t>
            </w:r>
          </w:p>
        </w:tc>
        <w:tc>
          <w:tcPr>
            <w:tcW w:w="698" w:type="dxa"/>
            <w:tcBorders>
              <w:righ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97%</w:t>
            </w:r>
          </w:p>
        </w:tc>
        <w:tc>
          <w:tcPr>
            <w:tcW w:w="612" w:type="dxa"/>
          </w:tcPr>
          <w:p w:rsidR="00701151" w:rsidRPr="0034148C" w:rsidRDefault="00701151" w:rsidP="00382C58">
            <w:pPr>
              <w:spacing w:after="0"/>
              <w:jc w:val="right"/>
              <w:rPr>
                <w:rFonts w:asciiTheme="minorHAnsi" w:hAnsiTheme="minorHAnsi" w:cstheme="minorHAnsi"/>
                <w:sz w:val="20"/>
                <w:szCs w:val="20"/>
              </w:rPr>
            </w:pPr>
            <w:r>
              <w:rPr>
                <w:rFonts w:asciiTheme="minorHAnsi" w:hAnsiTheme="minorHAnsi" w:cstheme="minorHAnsi"/>
                <w:sz w:val="20"/>
                <w:szCs w:val="20"/>
              </w:rPr>
              <w:t>34</w:t>
            </w:r>
          </w:p>
        </w:tc>
        <w:tc>
          <w:tcPr>
            <w:tcW w:w="756" w:type="dxa"/>
            <w:tcBorders>
              <w:right w:val="single" w:sz="18" w:space="0" w:color="auto"/>
            </w:tcBorders>
          </w:tcPr>
          <w:p w:rsidR="00701151" w:rsidRPr="0034148C" w:rsidRDefault="00701151" w:rsidP="00382C58">
            <w:pPr>
              <w:spacing w:after="0"/>
              <w:jc w:val="right"/>
              <w:rPr>
                <w:rFonts w:asciiTheme="minorHAnsi" w:hAnsiTheme="minorHAnsi" w:cstheme="minorHAnsi"/>
                <w:sz w:val="20"/>
                <w:szCs w:val="20"/>
              </w:rPr>
            </w:pPr>
            <w:r>
              <w:rPr>
                <w:rFonts w:asciiTheme="minorHAnsi" w:hAnsiTheme="minorHAnsi" w:cstheme="minorHAnsi"/>
                <w:sz w:val="20"/>
                <w:szCs w:val="20"/>
              </w:rPr>
              <w:t>97%</w:t>
            </w:r>
          </w:p>
        </w:tc>
        <w:tc>
          <w:tcPr>
            <w:tcW w:w="612"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33</w:t>
            </w:r>
          </w:p>
        </w:tc>
        <w:tc>
          <w:tcPr>
            <w:tcW w:w="773" w:type="dxa"/>
            <w:tcBorders>
              <w:right w:val="single" w:sz="18" w:space="0" w:color="auto"/>
            </w:tcBorders>
            <w:vAlign w:val="center"/>
          </w:tcPr>
          <w:p w:rsidR="00701151" w:rsidRPr="0034148C" w:rsidRDefault="00701151" w:rsidP="001475A1">
            <w:pPr>
              <w:spacing w:after="0"/>
              <w:jc w:val="right"/>
              <w:rPr>
                <w:rFonts w:asciiTheme="minorHAnsi" w:hAnsiTheme="minorHAnsi" w:cstheme="minorHAnsi"/>
                <w:sz w:val="20"/>
                <w:szCs w:val="20"/>
              </w:rPr>
            </w:pPr>
            <w:r w:rsidRPr="0034148C">
              <w:rPr>
                <w:rFonts w:asciiTheme="minorHAnsi" w:hAnsiTheme="minorHAnsi" w:cstheme="minorHAnsi"/>
                <w:sz w:val="20"/>
                <w:szCs w:val="20"/>
              </w:rPr>
              <w:t>94%</w:t>
            </w:r>
          </w:p>
        </w:tc>
        <w:tc>
          <w:tcPr>
            <w:tcW w:w="612" w:type="dxa"/>
            <w:tcBorders>
              <w:left w:val="single" w:sz="18" w:space="0" w:color="auto"/>
            </w:tcBorders>
            <w:vAlign w:val="center"/>
          </w:tcPr>
          <w:p w:rsidR="00701151" w:rsidRPr="0034148C" w:rsidRDefault="002F7D2A" w:rsidP="00382C58">
            <w:pPr>
              <w:spacing w:after="0"/>
              <w:jc w:val="right"/>
              <w:rPr>
                <w:rFonts w:asciiTheme="minorHAnsi" w:hAnsiTheme="minorHAnsi" w:cstheme="minorHAnsi"/>
                <w:sz w:val="20"/>
                <w:szCs w:val="20"/>
              </w:rPr>
            </w:pPr>
            <w:r>
              <w:rPr>
                <w:rFonts w:asciiTheme="minorHAnsi" w:hAnsiTheme="minorHAnsi" w:cstheme="minorHAnsi"/>
                <w:sz w:val="20"/>
                <w:szCs w:val="20"/>
              </w:rPr>
              <w:t>16</w:t>
            </w:r>
          </w:p>
        </w:tc>
        <w:tc>
          <w:tcPr>
            <w:tcW w:w="685" w:type="dxa"/>
            <w:tcBorders>
              <w:right w:val="single" w:sz="18" w:space="0" w:color="auto"/>
            </w:tcBorders>
            <w:vAlign w:val="center"/>
          </w:tcPr>
          <w:p w:rsidR="00701151" w:rsidRPr="0034148C" w:rsidRDefault="00BB304D" w:rsidP="001475A1">
            <w:pPr>
              <w:spacing w:after="0"/>
              <w:jc w:val="right"/>
              <w:rPr>
                <w:rFonts w:asciiTheme="minorHAnsi" w:hAnsiTheme="minorHAnsi" w:cstheme="minorHAnsi"/>
                <w:sz w:val="20"/>
                <w:szCs w:val="20"/>
              </w:rPr>
            </w:pPr>
            <w:r>
              <w:rPr>
                <w:rFonts w:asciiTheme="minorHAnsi" w:hAnsiTheme="minorHAnsi" w:cstheme="minorHAnsi"/>
                <w:sz w:val="20"/>
                <w:szCs w:val="20"/>
              </w:rPr>
              <w:t>46</w:t>
            </w:r>
            <w:r w:rsidR="00701151" w:rsidRPr="0034148C">
              <w:rPr>
                <w:rFonts w:asciiTheme="minorHAnsi" w:hAnsiTheme="minorHAnsi" w:cstheme="minorHAnsi"/>
                <w:sz w:val="20"/>
                <w:szCs w:val="20"/>
              </w:rPr>
              <w:t>%</w:t>
            </w:r>
          </w:p>
        </w:tc>
      </w:tr>
      <w:tr w:rsidR="00701151" w:rsidRPr="0034148C" w:rsidTr="00701151">
        <w:tc>
          <w:tcPr>
            <w:tcW w:w="1807" w:type="dxa"/>
            <w:tcBorders>
              <w:left w:val="single" w:sz="18" w:space="0" w:color="auto"/>
              <w:right w:val="single" w:sz="18" w:space="0" w:color="auto"/>
            </w:tcBorders>
          </w:tcPr>
          <w:p w:rsidR="00701151" w:rsidRPr="0034148C" w:rsidRDefault="00701151" w:rsidP="00382C58">
            <w:pPr>
              <w:spacing w:after="0"/>
              <w:rPr>
                <w:rFonts w:asciiTheme="minorHAnsi" w:hAnsiTheme="minorHAnsi" w:cstheme="minorHAnsi"/>
                <w:sz w:val="20"/>
                <w:szCs w:val="20"/>
              </w:rPr>
            </w:pPr>
            <w:r w:rsidRPr="0034148C">
              <w:rPr>
                <w:rFonts w:asciiTheme="minorHAnsi" w:hAnsiTheme="minorHAnsi" w:cstheme="minorHAnsi"/>
                <w:sz w:val="20"/>
                <w:szCs w:val="20"/>
              </w:rPr>
              <w:t>Agricultural production</w:t>
            </w:r>
          </w:p>
        </w:tc>
        <w:tc>
          <w:tcPr>
            <w:tcW w:w="551"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5</w:t>
            </w:r>
          </w:p>
        </w:tc>
        <w:tc>
          <w:tcPr>
            <w:tcW w:w="612" w:type="dxa"/>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7</w:t>
            </w:r>
          </w:p>
        </w:tc>
        <w:tc>
          <w:tcPr>
            <w:tcW w:w="638" w:type="dxa"/>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7</w:t>
            </w:r>
          </w:p>
        </w:tc>
        <w:tc>
          <w:tcPr>
            <w:tcW w:w="591" w:type="dxa"/>
            <w:tcBorders>
              <w:right w:val="single" w:sz="18" w:space="0" w:color="auto"/>
            </w:tcBorders>
            <w:vAlign w:val="center"/>
          </w:tcPr>
          <w:p w:rsidR="00701151" w:rsidRPr="0034148C" w:rsidRDefault="00701151" w:rsidP="00382C58">
            <w:pPr>
              <w:spacing w:after="0"/>
              <w:jc w:val="right"/>
              <w:rPr>
                <w:rFonts w:asciiTheme="minorHAnsi" w:hAnsiTheme="minorHAnsi" w:cstheme="minorHAnsi"/>
                <w:b/>
                <w:bCs/>
                <w:sz w:val="20"/>
                <w:szCs w:val="20"/>
              </w:rPr>
            </w:pPr>
            <w:r w:rsidRPr="0034148C">
              <w:rPr>
                <w:rFonts w:asciiTheme="minorHAnsi" w:hAnsiTheme="minorHAnsi" w:cstheme="minorHAnsi"/>
                <w:b/>
                <w:bCs/>
                <w:sz w:val="20"/>
                <w:szCs w:val="20"/>
              </w:rPr>
              <w:t>19</w:t>
            </w:r>
          </w:p>
        </w:tc>
        <w:tc>
          <w:tcPr>
            <w:tcW w:w="631"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Pr>
                <w:rFonts w:asciiTheme="minorHAnsi" w:hAnsiTheme="minorHAnsi" w:cstheme="minorHAnsi"/>
                <w:sz w:val="20"/>
                <w:szCs w:val="20"/>
              </w:rPr>
              <w:t>19</w:t>
            </w:r>
          </w:p>
        </w:tc>
        <w:tc>
          <w:tcPr>
            <w:tcW w:w="698" w:type="dxa"/>
            <w:tcBorders>
              <w:righ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Pr>
                <w:rFonts w:asciiTheme="minorHAnsi" w:hAnsiTheme="minorHAnsi" w:cstheme="minorHAnsi"/>
                <w:sz w:val="20"/>
                <w:szCs w:val="20"/>
              </w:rPr>
              <w:t>100</w:t>
            </w:r>
            <w:r w:rsidRPr="0034148C">
              <w:rPr>
                <w:rFonts w:asciiTheme="minorHAnsi" w:hAnsiTheme="minorHAnsi" w:cstheme="minorHAnsi"/>
                <w:sz w:val="20"/>
                <w:szCs w:val="20"/>
              </w:rPr>
              <w:t>%</w:t>
            </w:r>
          </w:p>
        </w:tc>
        <w:tc>
          <w:tcPr>
            <w:tcW w:w="612" w:type="dxa"/>
            <w:vAlign w:val="center"/>
          </w:tcPr>
          <w:p w:rsidR="00701151" w:rsidRPr="0034148C" w:rsidRDefault="00701151" w:rsidP="00382C58">
            <w:pPr>
              <w:spacing w:after="0"/>
              <w:jc w:val="right"/>
              <w:rPr>
                <w:rFonts w:asciiTheme="minorHAnsi" w:hAnsiTheme="minorHAnsi" w:cstheme="minorHAnsi"/>
                <w:sz w:val="20"/>
                <w:szCs w:val="20"/>
              </w:rPr>
            </w:pPr>
            <w:r>
              <w:rPr>
                <w:rFonts w:asciiTheme="minorHAnsi" w:hAnsiTheme="minorHAnsi" w:cstheme="minorHAnsi"/>
                <w:sz w:val="20"/>
                <w:szCs w:val="20"/>
              </w:rPr>
              <w:t>18</w:t>
            </w:r>
          </w:p>
        </w:tc>
        <w:tc>
          <w:tcPr>
            <w:tcW w:w="756" w:type="dxa"/>
            <w:tcBorders>
              <w:righ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Pr>
                <w:rFonts w:asciiTheme="minorHAnsi" w:hAnsiTheme="minorHAnsi" w:cstheme="minorHAnsi"/>
                <w:sz w:val="20"/>
                <w:szCs w:val="20"/>
              </w:rPr>
              <w:t>95%</w:t>
            </w:r>
          </w:p>
        </w:tc>
        <w:tc>
          <w:tcPr>
            <w:tcW w:w="612"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12</w:t>
            </w:r>
          </w:p>
        </w:tc>
        <w:tc>
          <w:tcPr>
            <w:tcW w:w="773" w:type="dxa"/>
            <w:tcBorders>
              <w:right w:val="single" w:sz="18" w:space="0" w:color="auto"/>
            </w:tcBorders>
            <w:vAlign w:val="center"/>
          </w:tcPr>
          <w:p w:rsidR="00701151" w:rsidRPr="0034148C" w:rsidRDefault="00701151" w:rsidP="001475A1">
            <w:pPr>
              <w:spacing w:after="0"/>
              <w:jc w:val="right"/>
              <w:rPr>
                <w:rFonts w:asciiTheme="minorHAnsi" w:hAnsiTheme="minorHAnsi" w:cstheme="minorHAnsi"/>
                <w:sz w:val="20"/>
                <w:szCs w:val="20"/>
              </w:rPr>
            </w:pPr>
            <w:r w:rsidRPr="0034148C">
              <w:rPr>
                <w:rFonts w:asciiTheme="minorHAnsi" w:hAnsiTheme="minorHAnsi" w:cstheme="minorHAnsi"/>
                <w:sz w:val="20"/>
                <w:szCs w:val="20"/>
              </w:rPr>
              <w:t>63%</w:t>
            </w:r>
          </w:p>
        </w:tc>
        <w:tc>
          <w:tcPr>
            <w:tcW w:w="612" w:type="dxa"/>
            <w:tcBorders>
              <w:left w:val="single" w:sz="18" w:space="0" w:color="auto"/>
            </w:tcBorders>
            <w:vAlign w:val="center"/>
          </w:tcPr>
          <w:p w:rsidR="00701151" w:rsidRPr="0034148C" w:rsidRDefault="002F7D2A" w:rsidP="00382C58">
            <w:pPr>
              <w:spacing w:after="0"/>
              <w:jc w:val="right"/>
              <w:rPr>
                <w:rFonts w:asciiTheme="minorHAnsi" w:hAnsiTheme="minorHAnsi" w:cstheme="minorHAnsi"/>
                <w:sz w:val="20"/>
                <w:szCs w:val="20"/>
              </w:rPr>
            </w:pPr>
            <w:r>
              <w:rPr>
                <w:rFonts w:asciiTheme="minorHAnsi" w:hAnsiTheme="minorHAnsi" w:cstheme="minorHAnsi"/>
                <w:sz w:val="20"/>
                <w:szCs w:val="20"/>
              </w:rPr>
              <w:t>2</w:t>
            </w:r>
          </w:p>
        </w:tc>
        <w:tc>
          <w:tcPr>
            <w:tcW w:w="685" w:type="dxa"/>
            <w:tcBorders>
              <w:right w:val="single" w:sz="18" w:space="0" w:color="auto"/>
            </w:tcBorders>
            <w:vAlign w:val="center"/>
          </w:tcPr>
          <w:p w:rsidR="00701151" w:rsidRPr="0034148C" w:rsidRDefault="00701151" w:rsidP="001475A1">
            <w:pPr>
              <w:spacing w:after="0"/>
              <w:jc w:val="right"/>
              <w:rPr>
                <w:rFonts w:asciiTheme="minorHAnsi" w:hAnsiTheme="minorHAnsi" w:cstheme="minorHAnsi"/>
                <w:sz w:val="20"/>
                <w:szCs w:val="20"/>
              </w:rPr>
            </w:pPr>
            <w:r w:rsidRPr="0034148C">
              <w:rPr>
                <w:rFonts w:asciiTheme="minorHAnsi" w:hAnsiTheme="minorHAnsi" w:cstheme="minorHAnsi"/>
                <w:sz w:val="20"/>
                <w:szCs w:val="20"/>
              </w:rPr>
              <w:t>1</w:t>
            </w:r>
            <w:r w:rsidR="00BB304D">
              <w:rPr>
                <w:rFonts w:asciiTheme="minorHAnsi" w:hAnsiTheme="minorHAnsi" w:cstheme="minorHAnsi"/>
                <w:sz w:val="20"/>
                <w:szCs w:val="20"/>
              </w:rPr>
              <w:t>1</w:t>
            </w:r>
            <w:r w:rsidRPr="0034148C">
              <w:rPr>
                <w:rFonts w:asciiTheme="minorHAnsi" w:hAnsiTheme="minorHAnsi" w:cstheme="minorHAnsi"/>
                <w:sz w:val="20"/>
                <w:szCs w:val="20"/>
              </w:rPr>
              <w:t>%</w:t>
            </w:r>
          </w:p>
        </w:tc>
      </w:tr>
      <w:tr w:rsidR="00701151" w:rsidRPr="0034148C" w:rsidTr="00701151">
        <w:tc>
          <w:tcPr>
            <w:tcW w:w="1807" w:type="dxa"/>
            <w:tcBorders>
              <w:left w:val="single" w:sz="18" w:space="0" w:color="auto"/>
              <w:right w:val="single" w:sz="18" w:space="0" w:color="auto"/>
            </w:tcBorders>
          </w:tcPr>
          <w:p w:rsidR="00701151" w:rsidRPr="0034148C" w:rsidRDefault="00701151" w:rsidP="00382C58">
            <w:pPr>
              <w:spacing w:after="0"/>
              <w:rPr>
                <w:rFonts w:asciiTheme="minorHAnsi" w:hAnsiTheme="minorHAnsi" w:cstheme="minorHAnsi"/>
                <w:sz w:val="20"/>
                <w:szCs w:val="20"/>
              </w:rPr>
            </w:pPr>
            <w:r w:rsidRPr="0034148C">
              <w:rPr>
                <w:rFonts w:asciiTheme="minorHAnsi" w:hAnsiTheme="minorHAnsi" w:cstheme="minorHAnsi"/>
                <w:sz w:val="20"/>
                <w:szCs w:val="20"/>
              </w:rPr>
              <w:t>Other production</w:t>
            </w:r>
          </w:p>
        </w:tc>
        <w:tc>
          <w:tcPr>
            <w:tcW w:w="551"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2</w:t>
            </w:r>
          </w:p>
        </w:tc>
        <w:tc>
          <w:tcPr>
            <w:tcW w:w="612" w:type="dxa"/>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1</w:t>
            </w:r>
          </w:p>
        </w:tc>
        <w:tc>
          <w:tcPr>
            <w:tcW w:w="638" w:type="dxa"/>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3</w:t>
            </w:r>
          </w:p>
        </w:tc>
        <w:tc>
          <w:tcPr>
            <w:tcW w:w="591" w:type="dxa"/>
            <w:tcBorders>
              <w:right w:val="single" w:sz="18" w:space="0" w:color="auto"/>
            </w:tcBorders>
            <w:vAlign w:val="bottom"/>
          </w:tcPr>
          <w:p w:rsidR="00701151" w:rsidRPr="0034148C" w:rsidRDefault="00701151" w:rsidP="00382C58">
            <w:pPr>
              <w:spacing w:after="0"/>
              <w:jc w:val="right"/>
              <w:rPr>
                <w:rFonts w:asciiTheme="minorHAnsi" w:hAnsiTheme="minorHAnsi" w:cstheme="minorHAnsi"/>
                <w:b/>
                <w:bCs/>
                <w:sz w:val="20"/>
                <w:szCs w:val="20"/>
              </w:rPr>
            </w:pPr>
            <w:r w:rsidRPr="0034148C">
              <w:rPr>
                <w:rFonts w:asciiTheme="minorHAnsi" w:hAnsiTheme="minorHAnsi" w:cstheme="minorHAnsi"/>
                <w:b/>
                <w:bCs/>
                <w:sz w:val="20"/>
                <w:szCs w:val="20"/>
              </w:rPr>
              <w:t>6</w:t>
            </w:r>
          </w:p>
        </w:tc>
        <w:tc>
          <w:tcPr>
            <w:tcW w:w="631"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6</w:t>
            </w:r>
          </w:p>
        </w:tc>
        <w:tc>
          <w:tcPr>
            <w:tcW w:w="698" w:type="dxa"/>
            <w:tcBorders>
              <w:righ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100%</w:t>
            </w:r>
          </w:p>
        </w:tc>
        <w:tc>
          <w:tcPr>
            <w:tcW w:w="612" w:type="dxa"/>
          </w:tcPr>
          <w:p w:rsidR="00701151" w:rsidRPr="0034148C" w:rsidRDefault="00701151" w:rsidP="00382C58">
            <w:pPr>
              <w:spacing w:after="0"/>
              <w:jc w:val="right"/>
              <w:rPr>
                <w:rFonts w:asciiTheme="minorHAnsi" w:hAnsiTheme="minorHAnsi" w:cstheme="minorHAnsi"/>
                <w:sz w:val="20"/>
                <w:szCs w:val="20"/>
              </w:rPr>
            </w:pPr>
            <w:r>
              <w:rPr>
                <w:rFonts w:asciiTheme="minorHAnsi" w:hAnsiTheme="minorHAnsi" w:cstheme="minorHAnsi"/>
                <w:sz w:val="20"/>
                <w:szCs w:val="20"/>
              </w:rPr>
              <w:t>6</w:t>
            </w:r>
          </w:p>
        </w:tc>
        <w:tc>
          <w:tcPr>
            <w:tcW w:w="756" w:type="dxa"/>
            <w:tcBorders>
              <w:right w:val="single" w:sz="18" w:space="0" w:color="auto"/>
            </w:tcBorders>
          </w:tcPr>
          <w:p w:rsidR="00701151" w:rsidRPr="0034148C" w:rsidRDefault="00701151" w:rsidP="00382C58">
            <w:pPr>
              <w:spacing w:after="0"/>
              <w:jc w:val="right"/>
              <w:rPr>
                <w:rFonts w:asciiTheme="minorHAnsi" w:hAnsiTheme="minorHAnsi" w:cstheme="minorHAnsi"/>
                <w:sz w:val="20"/>
                <w:szCs w:val="20"/>
              </w:rPr>
            </w:pPr>
            <w:r>
              <w:rPr>
                <w:rFonts w:asciiTheme="minorHAnsi" w:hAnsiTheme="minorHAnsi" w:cstheme="minorHAnsi"/>
                <w:sz w:val="20"/>
                <w:szCs w:val="20"/>
              </w:rPr>
              <w:t>100%</w:t>
            </w:r>
          </w:p>
        </w:tc>
        <w:tc>
          <w:tcPr>
            <w:tcW w:w="612" w:type="dxa"/>
            <w:tcBorders>
              <w:left w:val="single" w:sz="18" w:space="0" w:color="auto"/>
            </w:tcBorders>
            <w:vAlign w:val="center"/>
          </w:tcPr>
          <w:p w:rsidR="00701151" w:rsidRPr="0034148C" w:rsidRDefault="00701151" w:rsidP="00382C58">
            <w:pPr>
              <w:spacing w:after="0"/>
              <w:jc w:val="right"/>
              <w:rPr>
                <w:rFonts w:asciiTheme="minorHAnsi" w:hAnsiTheme="minorHAnsi" w:cstheme="minorHAnsi"/>
                <w:sz w:val="20"/>
                <w:szCs w:val="20"/>
              </w:rPr>
            </w:pPr>
            <w:r w:rsidRPr="0034148C">
              <w:rPr>
                <w:rFonts w:asciiTheme="minorHAnsi" w:hAnsiTheme="minorHAnsi" w:cstheme="minorHAnsi"/>
                <w:sz w:val="20"/>
                <w:szCs w:val="20"/>
              </w:rPr>
              <w:t>6</w:t>
            </w:r>
          </w:p>
        </w:tc>
        <w:tc>
          <w:tcPr>
            <w:tcW w:w="773" w:type="dxa"/>
            <w:tcBorders>
              <w:right w:val="single" w:sz="18" w:space="0" w:color="auto"/>
            </w:tcBorders>
            <w:vAlign w:val="center"/>
          </w:tcPr>
          <w:p w:rsidR="00701151" w:rsidRPr="0034148C" w:rsidRDefault="00701151" w:rsidP="001475A1">
            <w:pPr>
              <w:spacing w:after="0"/>
              <w:jc w:val="right"/>
              <w:rPr>
                <w:rFonts w:asciiTheme="minorHAnsi" w:hAnsiTheme="minorHAnsi" w:cstheme="minorHAnsi"/>
                <w:sz w:val="20"/>
                <w:szCs w:val="20"/>
              </w:rPr>
            </w:pPr>
            <w:r w:rsidRPr="0034148C">
              <w:rPr>
                <w:rFonts w:asciiTheme="minorHAnsi" w:hAnsiTheme="minorHAnsi" w:cstheme="minorHAnsi"/>
                <w:sz w:val="20"/>
                <w:szCs w:val="20"/>
              </w:rPr>
              <w:t>100%</w:t>
            </w:r>
          </w:p>
        </w:tc>
        <w:tc>
          <w:tcPr>
            <w:tcW w:w="612" w:type="dxa"/>
            <w:tcBorders>
              <w:left w:val="single" w:sz="18" w:space="0" w:color="auto"/>
            </w:tcBorders>
            <w:vAlign w:val="center"/>
          </w:tcPr>
          <w:p w:rsidR="00701151" w:rsidRPr="0034148C" w:rsidRDefault="002F7D2A" w:rsidP="00382C58">
            <w:pPr>
              <w:spacing w:after="0"/>
              <w:jc w:val="right"/>
              <w:rPr>
                <w:rFonts w:asciiTheme="minorHAnsi" w:hAnsiTheme="minorHAnsi" w:cstheme="minorHAnsi"/>
                <w:sz w:val="20"/>
                <w:szCs w:val="20"/>
              </w:rPr>
            </w:pPr>
            <w:r>
              <w:rPr>
                <w:rFonts w:asciiTheme="minorHAnsi" w:hAnsiTheme="minorHAnsi" w:cstheme="minorHAnsi"/>
                <w:sz w:val="20"/>
                <w:szCs w:val="20"/>
              </w:rPr>
              <w:t>4</w:t>
            </w:r>
          </w:p>
        </w:tc>
        <w:tc>
          <w:tcPr>
            <w:tcW w:w="685" w:type="dxa"/>
            <w:tcBorders>
              <w:right w:val="single" w:sz="18" w:space="0" w:color="auto"/>
            </w:tcBorders>
            <w:vAlign w:val="center"/>
          </w:tcPr>
          <w:p w:rsidR="00701151" w:rsidRPr="0034148C" w:rsidRDefault="00BB304D" w:rsidP="001475A1">
            <w:pPr>
              <w:spacing w:after="0"/>
              <w:jc w:val="right"/>
              <w:rPr>
                <w:rFonts w:asciiTheme="minorHAnsi" w:hAnsiTheme="minorHAnsi" w:cstheme="minorHAnsi"/>
                <w:sz w:val="20"/>
                <w:szCs w:val="20"/>
              </w:rPr>
            </w:pPr>
            <w:r>
              <w:rPr>
                <w:rFonts w:asciiTheme="minorHAnsi" w:hAnsiTheme="minorHAnsi" w:cstheme="minorHAnsi"/>
                <w:sz w:val="20"/>
                <w:szCs w:val="20"/>
              </w:rPr>
              <w:t>67</w:t>
            </w:r>
            <w:r w:rsidR="00701151" w:rsidRPr="0034148C">
              <w:rPr>
                <w:rFonts w:asciiTheme="minorHAnsi" w:hAnsiTheme="minorHAnsi" w:cstheme="minorHAnsi"/>
                <w:sz w:val="20"/>
                <w:szCs w:val="20"/>
              </w:rPr>
              <w:t>%</w:t>
            </w:r>
          </w:p>
        </w:tc>
      </w:tr>
      <w:tr w:rsidR="00701151" w:rsidRPr="0034148C" w:rsidTr="00701151">
        <w:tc>
          <w:tcPr>
            <w:tcW w:w="1807" w:type="dxa"/>
            <w:tcBorders>
              <w:left w:val="single" w:sz="18" w:space="0" w:color="auto"/>
              <w:bottom w:val="single" w:sz="18" w:space="0" w:color="auto"/>
              <w:right w:val="single" w:sz="18" w:space="0" w:color="auto"/>
            </w:tcBorders>
          </w:tcPr>
          <w:p w:rsidR="00701151" w:rsidRPr="0034148C" w:rsidRDefault="00701151" w:rsidP="00382C58">
            <w:pPr>
              <w:spacing w:after="0"/>
              <w:rPr>
                <w:rFonts w:asciiTheme="minorHAnsi" w:hAnsiTheme="minorHAnsi" w:cstheme="minorHAnsi"/>
                <w:b/>
                <w:bCs/>
                <w:sz w:val="20"/>
                <w:szCs w:val="20"/>
              </w:rPr>
            </w:pPr>
            <w:r w:rsidRPr="0034148C">
              <w:rPr>
                <w:rFonts w:asciiTheme="minorHAnsi" w:hAnsiTheme="minorHAnsi" w:cstheme="minorHAnsi"/>
                <w:b/>
                <w:bCs/>
                <w:sz w:val="20"/>
                <w:szCs w:val="20"/>
              </w:rPr>
              <w:t>Total</w:t>
            </w:r>
          </w:p>
        </w:tc>
        <w:tc>
          <w:tcPr>
            <w:tcW w:w="551" w:type="dxa"/>
            <w:tcBorders>
              <w:left w:val="single" w:sz="18" w:space="0" w:color="auto"/>
              <w:bottom w:val="single" w:sz="18" w:space="0" w:color="auto"/>
            </w:tcBorders>
            <w:vAlign w:val="center"/>
          </w:tcPr>
          <w:p w:rsidR="00701151" w:rsidRPr="0034148C" w:rsidRDefault="00701151" w:rsidP="00382C58">
            <w:pPr>
              <w:spacing w:after="0"/>
              <w:jc w:val="right"/>
              <w:rPr>
                <w:rFonts w:asciiTheme="minorHAnsi" w:hAnsiTheme="minorHAnsi" w:cstheme="minorHAnsi"/>
                <w:b/>
                <w:bCs/>
                <w:sz w:val="20"/>
                <w:szCs w:val="20"/>
              </w:rPr>
            </w:pPr>
            <w:r w:rsidRPr="0034148C">
              <w:rPr>
                <w:rFonts w:asciiTheme="minorHAnsi" w:hAnsiTheme="minorHAnsi" w:cstheme="minorHAnsi"/>
                <w:b/>
                <w:bCs/>
                <w:sz w:val="20"/>
                <w:szCs w:val="20"/>
              </w:rPr>
              <w:t>27</w:t>
            </w:r>
          </w:p>
        </w:tc>
        <w:tc>
          <w:tcPr>
            <w:tcW w:w="612" w:type="dxa"/>
            <w:tcBorders>
              <w:bottom w:val="single" w:sz="18" w:space="0" w:color="auto"/>
            </w:tcBorders>
            <w:vAlign w:val="center"/>
          </w:tcPr>
          <w:p w:rsidR="00701151" w:rsidRPr="0034148C" w:rsidRDefault="00701151" w:rsidP="00382C58">
            <w:pPr>
              <w:spacing w:after="0"/>
              <w:jc w:val="right"/>
              <w:rPr>
                <w:rFonts w:asciiTheme="minorHAnsi" w:hAnsiTheme="minorHAnsi" w:cstheme="minorHAnsi"/>
                <w:b/>
                <w:bCs/>
                <w:sz w:val="20"/>
                <w:szCs w:val="20"/>
              </w:rPr>
            </w:pPr>
            <w:r w:rsidRPr="0034148C">
              <w:rPr>
                <w:rFonts w:asciiTheme="minorHAnsi" w:hAnsiTheme="minorHAnsi" w:cstheme="minorHAnsi"/>
                <w:b/>
                <w:bCs/>
                <w:sz w:val="20"/>
                <w:szCs w:val="20"/>
              </w:rPr>
              <w:t>31</w:t>
            </w:r>
          </w:p>
        </w:tc>
        <w:tc>
          <w:tcPr>
            <w:tcW w:w="638" w:type="dxa"/>
            <w:tcBorders>
              <w:bottom w:val="single" w:sz="18" w:space="0" w:color="auto"/>
            </w:tcBorders>
            <w:vAlign w:val="center"/>
          </w:tcPr>
          <w:p w:rsidR="00701151" w:rsidRPr="0034148C" w:rsidRDefault="00701151" w:rsidP="00382C58">
            <w:pPr>
              <w:spacing w:after="0"/>
              <w:jc w:val="right"/>
              <w:rPr>
                <w:rFonts w:asciiTheme="minorHAnsi" w:hAnsiTheme="minorHAnsi" w:cstheme="minorHAnsi"/>
                <w:b/>
                <w:bCs/>
                <w:sz w:val="20"/>
                <w:szCs w:val="20"/>
              </w:rPr>
            </w:pPr>
            <w:r w:rsidRPr="0034148C">
              <w:rPr>
                <w:rFonts w:asciiTheme="minorHAnsi" w:hAnsiTheme="minorHAnsi" w:cstheme="minorHAnsi"/>
                <w:b/>
                <w:bCs/>
                <w:sz w:val="20"/>
                <w:szCs w:val="20"/>
              </w:rPr>
              <w:t>25</w:t>
            </w:r>
          </w:p>
        </w:tc>
        <w:tc>
          <w:tcPr>
            <w:tcW w:w="591" w:type="dxa"/>
            <w:tcBorders>
              <w:bottom w:val="single" w:sz="18" w:space="0" w:color="auto"/>
              <w:right w:val="single" w:sz="18" w:space="0" w:color="auto"/>
            </w:tcBorders>
            <w:vAlign w:val="bottom"/>
          </w:tcPr>
          <w:p w:rsidR="00701151" w:rsidRPr="0034148C" w:rsidRDefault="00701151" w:rsidP="00382C58">
            <w:pPr>
              <w:spacing w:after="0"/>
              <w:jc w:val="right"/>
              <w:rPr>
                <w:rFonts w:asciiTheme="minorHAnsi" w:hAnsiTheme="minorHAnsi" w:cstheme="minorHAnsi"/>
                <w:b/>
                <w:bCs/>
                <w:sz w:val="20"/>
                <w:szCs w:val="20"/>
              </w:rPr>
            </w:pPr>
            <w:r w:rsidRPr="0034148C">
              <w:rPr>
                <w:rFonts w:asciiTheme="minorHAnsi" w:hAnsiTheme="minorHAnsi" w:cstheme="minorHAnsi"/>
                <w:b/>
                <w:bCs/>
                <w:sz w:val="20"/>
                <w:szCs w:val="20"/>
              </w:rPr>
              <w:t>83</w:t>
            </w:r>
          </w:p>
        </w:tc>
        <w:tc>
          <w:tcPr>
            <w:tcW w:w="631" w:type="dxa"/>
            <w:tcBorders>
              <w:left w:val="single" w:sz="18" w:space="0" w:color="auto"/>
              <w:bottom w:val="single" w:sz="18" w:space="0" w:color="auto"/>
            </w:tcBorders>
            <w:vAlign w:val="bottom"/>
          </w:tcPr>
          <w:p w:rsidR="00701151" w:rsidRPr="0034148C" w:rsidRDefault="00701151" w:rsidP="00382C58">
            <w:pPr>
              <w:spacing w:after="0"/>
              <w:jc w:val="right"/>
              <w:rPr>
                <w:rFonts w:asciiTheme="minorHAnsi" w:hAnsiTheme="minorHAnsi" w:cstheme="minorHAnsi"/>
                <w:b/>
                <w:bCs/>
                <w:sz w:val="20"/>
                <w:szCs w:val="20"/>
              </w:rPr>
            </w:pPr>
            <w:r>
              <w:rPr>
                <w:rFonts w:asciiTheme="minorHAnsi" w:hAnsiTheme="minorHAnsi" w:cstheme="minorHAnsi"/>
                <w:b/>
                <w:bCs/>
                <w:sz w:val="20"/>
                <w:szCs w:val="20"/>
              </w:rPr>
              <w:t>82</w:t>
            </w:r>
          </w:p>
        </w:tc>
        <w:tc>
          <w:tcPr>
            <w:tcW w:w="698" w:type="dxa"/>
            <w:tcBorders>
              <w:bottom w:val="single" w:sz="18" w:space="0" w:color="auto"/>
              <w:right w:val="single" w:sz="18" w:space="0" w:color="auto"/>
            </w:tcBorders>
            <w:vAlign w:val="center"/>
          </w:tcPr>
          <w:p w:rsidR="00701151" w:rsidRPr="0034148C" w:rsidRDefault="00701151" w:rsidP="00382C58">
            <w:pPr>
              <w:spacing w:after="0"/>
              <w:jc w:val="right"/>
              <w:rPr>
                <w:rFonts w:asciiTheme="minorHAnsi" w:hAnsiTheme="minorHAnsi" w:cstheme="minorHAnsi"/>
                <w:b/>
                <w:bCs/>
                <w:sz w:val="20"/>
                <w:szCs w:val="20"/>
              </w:rPr>
            </w:pPr>
            <w:r>
              <w:rPr>
                <w:rFonts w:asciiTheme="minorHAnsi" w:hAnsiTheme="minorHAnsi" w:cstheme="minorHAnsi"/>
                <w:b/>
                <w:bCs/>
                <w:sz w:val="20"/>
                <w:szCs w:val="20"/>
              </w:rPr>
              <w:t>99</w:t>
            </w:r>
            <w:r w:rsidRPr="0034148C">
              <w:rPr>
                <w:rFonts w:asciiTheme="minorHAnsi" w:hAnsiTheme="minorHAnsi" w:cstheme="minorHAnsi"/>
                <w:b/>
                <w:bCs/>
                <w:sz w:val="20"/>
                <w:szCs w:val="20"/>
              </w:rPr>
              <w:t>%</w:t>
            </w:r>
          </w:p>
        </w:tc>
        <w:tc>
          <w:tcPr>
            <w:tcW w:w="612" w:type="dxa"/>
            <w:tcBorders>
              <w:bottom w:val="single" w:sz="18" w:space="0" w:color="auto"/>
            </w:tcBorders>
          </w:tcPr>
          <w:p w:rsidR="00701151" w:rsidRPr="0034148C" w:rsidRDefault="00701151" w:rsidP="00382C58">
            <w:pPr>
              <w:spacing w:after="0"/>
              <w:jc w:val="right"/>
              <w:rPr>
                <w:rFonts w:asciiTheme="minorHAnsi" w:hAnsiTheme="minorHAnsi" w:cstheme="minorHAnsi"/>
                <w:b/>
                <w:bCs/>
                <w:sz w:val="20"/>
                <w:szCs w:val="20"/>
              </w:rPr>
            </w:pPr>
            <w:r>
              <w:rPr>
                <w:rFonts w:asciiTheme="minorHAnsi" w:hAnsiTheme="minorHAnsi" w:cstheme="minorHAnsi"/>
                <w:b/>
                <w:bCs/>
                <w:sz w:val="20"/>
                <w:szCs w:val="20"/>
              </w:rPr>
              <w:t>79</w:t>
            </w:r>
          </w:p>
        </w:tc>
        <w:tc>
          <w:tcPr>
            <w:tcW w:w="756" w:type="dxa"/>
            <w:tcBorders>
              <w:bottom w:val="single" w:sz="18" w:space="0" w:color="auto"/>
              <w:right w:val="single" w:sz="18" w:space="0" w:color="auto"/>
            </w:tcBorders>
          </w:tcPr>
          <w:p w:rsidR="00701151" w:rsidRPr="0034148C" w:rsidRDefault="00701151" w:rsidP="00382C58">
            <w:pPr>
              <w:spacing w:after="0"/>
              <w:jc w:val="right"/>
              <w:rPr>
                <w:rFonts w:asciiTheme="minorHAnsi" w:hAnsiTheme="minorHAnsi" w:cstheme="minorHAnsi"/>
                <w:b/>
                <w:bCs/>
                <w:sz w:val="20"/>
                <w:szCs w:val="20"/>
              </w:rPr>
            </w:pPr>
            <w:r>
              <w:rPr>
                <w:rFonts w:asciiTheme="minorHAnsi" w:hAnsiTheme="minorHAnsi" w:cstheme="minorHAnsi"/>
                <w:b/>
                <w:bCs/>
                <w:sz w:val="20"/>
                <w:szCs w:val="20"/>
              </w:rPr>
              <w:t>95%</w:t>
            </w:r>
          </w:p>
        </w:tc>
        <w:tc>
          <w:tcPr>
            <w:tcW w:w="612" w:type="dxa"/>
            <w:tcBorders>
              <w:left w:val="single" w:sz="18" w:space="0" w:color="auto"/>
              <w:bottom w:val="single" w:sz="18" w:space="0" w:color="auto"/>
            </w:tcBorders>
            <w:vAlign w:val="bottom"/>
          </w:tcPr>
          <w:p w:rsidR="00701151" w:rsidRPr="0034148C" w:rsidRDefault="00701151" w:rsidP="00382C58">
            <w:pPr>
              <w:spacing w:after="0"/>
              <w:jc w:val="right"/>
              <w:rPr>
                <w:rFonts w:asciiTheme="minorHAnsi" w:hAnsiTheme="minorHAnsi" w:cstheme="minorHAnsi"/>
                <w:b/>
                <w:bCs/>
                <w:sz w:val="20"/>
                <w:szCs w:val="20"/>
              </w:rPr>
            </w:pPr>
            <w:r w:rsidRPr="0034148C">
              <w:rPr>
                <w:rFonts w:asciiTheme="minorHAnsi" w:hAnsiTheme="minorHAnsi" w:cstheme="minorHAnsi"/>
                <w:b/>
                <w:bCs/>
                <w:sz w:val="20"/>
                <w:szCs w:val="20"/>
              </w:rPr>
              <w:t>74</w:t>
            </w:r>
          </w:p>
        </w:tc>
        <w:tc>
          <w:tcPr>
            <w:tcW w:w="773" w:type="dxa"/>
            <w:tcBorders>
              <w:bottom w:val="single" w:sz="18" w:space="0" w:color="auto"/>
              <w:right w:val="single" w:sz="18" w:space="0" w:color="auto"/>
            </w:tcBorders>
            <w:vAlign w:val="center"/>
          </w:tcPr>
          <w:p w:rsidR="00701151" w:rsidRPr="0034148C" w:rsidRDefault="00701151" w:rsidP="001475A1">
            <w:pPr>
              <w:spacing w:after="0"/>
              <w:jc w:val="right"/>
              <w:rPr>
                <w:rFonts w:asciiTheme="minorHAnsi" w:hAnsiTheme="minorHAnsi" w:cstheme="minorHAnsi"/>
                <w:b/>
                <w:bCs/>
                <w:sz w:val="20"/>
                <w:szCs w:val="20"/>
              </w:rPr>
            </w:pPr>
            <w:r w:rsidRPr="0034148C">
              <w:rPr>
                <w:rFonts w:asciiTheme="minorHAnsi" w:hAnsiTheme="minorHAnsi" w:cstheme="minorHAnsi"/>
                <w:b/>
                <w:bCs/>
                <w:sz w:val="20"/>
                <w:szCs w:val="20"/>
              </w:rPr>
              <w:t>89%</w:t>
            </w:r>
          </w:p>
        </w:tc>
        <w:tc>
          <w:tcPr>
            <w:tcW w:w="612" w:type="dxa"/>
            <w:tcBorders>
              <w:left w:val="single" w:sz="18" w:space="0" w:color="auto"/>
              <w:bottom w:val="single" w:sz="18" w:space="0" w:color="auto"/>
            </w:tcBorders>
            <w:vAlign w:val="center"/>
          </w:tcPr>
          <w:p w:rsidR="00701151" w:rsidRPr="0034148C" w:rsidRDefault="00BB304D" w:rsidP="00382C58">
            <w:pPr>
              <w:spacing w:after="0"/>
              <w:jc w:val="right"/>
              <w:rPr>
                <w:rFonts w:asciiTheme="minorHAnsi" w:hAnsiTheme="minorHAnsi" w:cstheme="minorHAnsi"/>
                <w:b/>
                <w:bCs/>
                <w:sz w:val="20"/>
                <w:szCs w:val="20"/>
              </w:rPr>
            </w:pPr>
            <w:r>
              <w:rPr>
                <w:rFonts w:asciiTheme="minorHAnsi" w:hAnsiTheme="minorHAnsi" w:cstheme="minorHAnsi"/>
                <w:b/>
                <w:bCs/>
                <w:sz w:val="20"/>
                <w:szCs w:val="20"/>
              </w:rPr>
              <w:t>40</w:t>
            </w:r>
          </w:p>
        </w:tc>
        <w:tc>
          <w:tcPr>
            <w:tcW w:w="685" w:type="dxa"/>
            <w:tcBorders>
              <w:bottom w:val="single" w:sz="18" w:space="0" w:color="auto"/>
              <w:right w:val="single" w:sz="18" w:space="0" w:color="auto"/>
            </w:tcBorders>
            <w:vAlign w:val="center"/>
          </w:tcPr>
          <w:p w:rsidR="00701151" w:rsidRPr="0034148C" w:rsidRDefault="00BB304D" w:rsidP="001475A1">
            <w:pPr>
              <w:spacing w:after="0"/>
              <w:jc w:val="right"/>
              <w:rPr>
                <w:rFonts w:asciiTheme="minorHAnsi" w:hAnsiTheme="minorHAnsi" w:cstheme="minorHAnsi"/>
                <w:b/>
                <w:bCs/>
                <w:sz w:val="20"/>
                <w:szCs w:val="20"/>
              </w:rPr>
            </w:pPr>
            <w:r>
              <w:rPr>
                <w:rFonts w:asciiTheme="minorHAnsi" w:hAnsiTheme="minorHAnsi" w:cstheme="minorHAnsi"/>
                <w:b/>
                <w:bCs/>
                <w:sz w:val="20"/>
                <w:szCs w:val="20"/>
              </w:rPr>
              <w:t>48</w:t>
            </w:r>
            <w:r w:rsidR="00701151" w:rsidRPr="0034148C">
              <w:rPr>
                <w:rFonts w:asciiTheme="minorHAnsi" w:hAnsiTheme="minorHAnsi" w:cstheme="minorHAnsi"/>
                <w:b/>
                <w:bCs/>
                <w:sz w:val="20"/>
                <w:szCs w:val="20"/>
              </w:rPr>
              <w:t>%</w:t>
            </w:r>
          </w:p>
        </w:tc>
      </w:tr>
    </w:tbl>
    <w:p w:rsidR="00984BFD" w:rsidRPr="0034148C" w:rsidRDefault="00984BFD" w:rsidP="003D03CD">
      <w:pPr>
        <w:pStyle w:val="Figurenote"/>
      </w:pPr>
      <w:r w:rsidRPr="0034148C">
        <w:t xml:space="preserve">(2) “Ever </w:t>
      </w:r>
      <w:proofErr w:type="gramStart"/>
      <w:r w:rsidRPr="0034148C">
        <w:t>operated</w:t>
      </w:r>
      <w:proofErr w:type="gramEnd"/>
      <w:r w:rsidRPr="0034148C">
        <w:t>” means that the business had expenses and/or profit for at least one month by the end of the project period.</w:t>
      </w:r>
    </w:p>
    <w:p w:rsidR="00984BFD" w:rsidRPr="0034148C" w:rsidRDefault="00984BFD" w:rsidP="003D03CD">
      <w:pPr>
        <w:pStyle w:val="Figurenote"/>
      </w:pPr>
      <w:r w:rsidRPr="0034148C">
        <w:t>(3) “Still operating” means that the business</w:t>
      </w:r>
      <w:r w:rsidR="006117F8">
        <w:t xml:space="preserve"> is still open according to project monitoring</w:t>
      </w:r>
      <w:r w:rsidRPr="0034148C">
        <w:t>.</w:t>
      </w:r>
    </w:p>
    <w:p w:rsidR="00984BFD" w:rsidRPr="0034148C" w:rsidRDefault="00984BFD" w:rsidP="003D03CD">
      <w:pPr>
        <w:pStyle w:val="Figurenote"/>
      </w:pPr>
      <w:r w:rsidRPr="0034148C">
        <w:t xml:space="preserve">(4) “Made a net </w:t>
      </w:r>
      <w:proofErr w:type="gramStart"/>
      <w:r w:rsidRPr="0034148C">
        <w:t>profit</w:t>
      </w:r>
      <w:proofErr w:type="gramEnd"/>
      <w:r w:rsidRPr="0034148C">
        <w:t>” means that the total profit made by the business during the program period was greater than the total expenses.</w:t>
      </w:r>
    </w:p>
    <w:p w:rsidR="00984BFD" w:rsidRPr="0034148C" w:rsidRDefault="00984BFD" w:rsidP="003D03CD">
      <w:pPr>
        <w:pStyle w:val="Figurenote"/>
      </w:pPr>
      <w:r w:rsidRPr="0034148C">
        <w:t xml:space="preserve">(5) “Made a profit if grant </w:t>
      </w:r>
      <w:proofErr w:type="gramStart"/>
      <w:r w:rsidRPr="0034148C">
        <w:t>deducted</w:t>
      </w:r>
      <w:proofErr w:type="gramEnd"/>
      <w:r w:rsidRPr="0034148C">
        <w:t>” means that the total profit made by the business during the program period was greater than the sum of the total expenses and the grant amount.</w:t>
      </w:r>
    </w:p>
    <w:p w:rsidR="003D03CD" w:rsidRPr="0034148C" w:rsidRDefault="003D03CD" w:rsidP="003D03CD">
      <w:pPr>
        <w:pStyle w:val="Figurenote"/>
      </w:pPr>
      <w:proofErr w:type="gramStart"/>
      <w:r w:rsidRPr="0034148C">
        <w:t>Source: Project monitoring database.</w:t>
      </w:r>
      <w:proofErr w:type="gramEnd"/>
    </w:p>
    <w:p w:rsidR="0096323B" w:rsidRDefault="0096323B" w:rsidP="00D71843"/>
    <w:p w:rsidR="00D71843" w:rsidRDefault="00F81BC6" w:rsidP="00D71843">
      <w:r w:rsidRPr="0034148C">
        <w:t>Of t</w:t>
      </w:r>
      <w:r w:rsidR="00664719" w:rsidRPr="0034148C">
        <w:t>he 83 bu</w:t>
      </w:r>
      <w:r w:rsidR="006117F8">
        <w:t>sinesses funded, 82 (99</w:t>
      </w:r>
      <w:r w:rsidRPr="0034148C">
        <w:t>%) operated f</w:t>
      </w:r>
      <w:r w:rsidR="000311AB" w:rsidRPr="0034148C">
        <w:t xml:space="preserve">or at least </w:t>
      </w:r>
      <w:r w:rsidR="000B638F" w:rsidRPr="0034148C">
        <w:t>one</w:t>
      </w:r>
      <w:r w:rsidR="000311AB" w:rsidRPr="0034148C">
        <w:t xml:space="preserve"> month </w:t>
      </w:r>
      <w:r w:rsidR="00765E71" w:rsidRPr="0034148C">
        <w:t xml:space="preserve">by the end of the project period </w:t>
      </w:r>
      <w:r w:rsidR="000311AB" w:rsidRPr="0034148C">
        <w:t>(column 2</w:t>
      </w:r>
      <w:r w:rsidR="00664719" w:rsidRPr="0034148C">
        <w:t xml:space="preserve"> of the table). </w:t>
      </w:r>
      <w:r w:rsidR="006117F8">
        <w:t xml:space="preserve">The only exception was </w:t>
      </w:r>
      <w:r w:rsidR="00D71843" w:rsidRPr="0034148C">
        <w:t xml:space="preserve">one service enterprise (a coffee grinder business) </w:t>
      </w:r>
      <w:r w:rsidR="00D71843">
        <w:t xml:space="preserve">that </w:t>
      </w:r>
      <w:r w:rsidR="00D71843" w:rsidRPr="0034148C">
        <w:t>did not become operational due to the unexpected death of the grantee</w:t>
      </w:r>
      <w:r w:rsidR="00D71843">
        <w:t>. B</w:t>
      </w:r>
      <w:r w:rsidR="00D71843" w:rsidRPr="0034148C">
        <w:t xml:space="preserve">y the end of the project </w:t>
      </w:r>
      <w:proofErr w:type="gramStart"/>
      <w:r w:rsidR="00D71843" w:rsidRPr="0034148C">
        <w:t>period</w:t>
      </w:r>
      <w:proofErr w:type="gramEnd"/>
      <w:r w:rsidR="00D71843" w:rsidRPr="0034148C">
        <w:t xml:space="preserve"> there were </w:t>
      </w:r>
      <w:r w:rsidR="00D71843">
        <w:t>3</w:t>
      </w:r>
      <w:r w:rsidR="00D71843" w:rsidRPr="0034148C">
        <w:t xml:space="preserve"> businesses that were no longer operational. Two of these, a grocery and a second-hand clothing shop, were profitable businesses </w:t>
      </w:r>
      <w:r w:rsidR="00D71843" w:rsidRPr="00D71843">
        <w:t xml:space="preserve">that </w:t>
      </w:r>
      <w:proofErr w:type="gramStart"/>
      <w:r w:rsidR="00D71843" w:rsidRPr="00D71843">
        <w:t>were shut down</w:t>
      </w:r>
      <w:proofErr w:type="gramEnd"/>
      <w:r w:rsidR="00D71843" w:rsidRPr="00D71843">
        <w:t xml:space="preserve"> due to personal health reasons.</w:t>
      </w:r>
      <w:r w:rsidR="00D71843" w:rsidRPr="0034148C">
        <w:t xml:space="preserve"> </w:t>
      </w:r>
      <w:r w:rsidR="00D71843">
        <w:t xml:space="preserve">Only one, a mushroom greenhouse, </w:t>
      </w:r>
      <w:proofErr w:type="gramStart"/>
      <w:r w:rsidR="00D71843">
        <w:t>was shut down</w:t>
      </w:r>
      <w:proofErr w:type="gramEnd"/>
      <w:r w:rsidR="00D71843">
        <w:t xml:space="preserve"> due to a lack of profit. It </w:t>
      </w:r>
      <w:proofErr w:type="gramStart"/>
      <w:r w:rsidR="00D71843">
        <w:t>should be noted</w:t>
      </w:r>
      <w:proofErr w:type="gramEnd"/>
      <w:r w:rsidR="00D71843">
        <w:t xml:space="preserve"> however that </w:t>
      </w:r>
      <w:r w:rsidR="00FA1B0D">
        <w:t>two agricultural production businesses, both mills, had not yet opened by the end of the project period.</w:t>
      </w:r>
    </w:p>
    <w:p w:rsidR="00FA1B0D" w:rsidRDefault="00FA1B0D" w:rsidP="00D71843">
      <w:r>
        <w:lastRenderedPageBreak/>
        <w:t xml:space="preserve">Column 4 of the table presents information on the number of businesses by type that had made a profit by the end of the project period. Overall 74 of the original 83, or 89% were profitable. Of the </w:t>
      </w:r>
      <w:r w:rsidR="00473B99">
        <w:t>nine</w:t>
      </w:r>
      <w:r>
        <w:t xml:space="preserve"> that were not profitable, </w:t>
      </w:r>
      <w:r w:rsidR="00473B99">
        <w:t>as mentioned above one business</w:t>
      </w:r>
      <w:r w:rsidR="005B3F9D">
        <w:t xml:space="preserve"> never opened and two had not yet opened by the end of the project period. For the rema</w:t>
      </w:r>
      <w:r w:rsidR="00473B99">
        <w:t>ining six businesses, three</w:t>
      </w:r>
      <w:r w:rsidR="005B3F9D">
        <w:t xml:space="preserve"> were turkey demonstration projects where no information on income was available</w:t>
      </w:r>
      <w:r w:rsidR="006C7FE0">
        <w:t>.  T</w:t>
      </w:r>
      <w:r w:rsidR="00473B99">
        <w:t>he remaining three</w:t>
      </w:r>
      <w:r w:rsidR="005B3F9D">
        <w:t xml:space="preserve"> are </w:t>
      </w:r>
      <w:r w:rsidR="006C7FE0">
        <w:t xml:space="preserve">two </w:t>
      </w:r>
      <w:r w:rsidR="005B3F9D">
        <w:t>greenhouse</w:t>
      </w:r>
      <w:r w:rsidR="006C7FE0">
        <w:t>s</w:t>
      </w:r>
      <w:r w:rsidR="00473B99">
        <w:t xml:space="preserve"> that </w:t>
      </w:r>
      <w:r w:rsidR="006C7FE0">
        <w:t xml:space="preserve">are operational on a seasonal basis and </w:t>
      </w:r>
      <w:r w:rsidR="006C7FE0" w:rsidRPr="0034148C">
        <w:t>one sewing shop that still had higher expenses than profits by June 2012</w:t>
      </w:r>
      <w:r w:rsidR="006C7FE0">
        <w:t xml:space="preserve">; all of these are Round 3 businesses that </w:t>
      </w:r>
      <w:r w:rsidR="00063869">
        <w:t>received their grants only recently. Thus it can be said that all of the non-profitable businesses were either not operational, lacked data or were opened only for a limited time.</w:t>
      </w:r>
    </w:p>
    <w:p w:rsidR="00A96C95" w:rsidRPr="0034148C" w:rsidRDefault="003E47E4" w:rsidP="000F3AE8">
      <w:r w:rsidRPr="0034148C">
        <w:t xml:space="preserve">As a measure of </w:t>
      </w:r>
      <w:r w:rsidR="004E0963" w:rsidRPr="0034148C">
        <w:t xml:space="preserve">cost effectiveness, </w:t>
      </w:r>
      <w:r w:rsidR="00605CDC" w:rsidRPr="0034148C">
        <w:t>Column 5</w:t>
      </w:r>
      <w:r w:rsidR="00A96C95" w:rsidRPr="0034148C">
        <w:t xml:space="preserve"> of the table examines whether the funded businesses </w:t>
      </w:r>
      <w:r w:rsidR="004E0963" w:rsidRPr="0034148C">
        <w:t xml:space="preserve">would still </w:t>
      </w:r>
      <w:r w:rsidR="00A96C95" w:rsidRPr="0034148C">
        <w:t>ha</w:t>
      </w:r>
      <w:r w:rsidR="004E0963" w:rsidRPr="0034148C">
        <w:t>ve</w:t>
      </w:r>
      <w:r w:rsidR="00A96C95" w:rsidRPr="0034148C">
        <w:t xml:space="preserve"> made a net profit by the end of the project period if the amount of the grant </w:t>
      </w:r>
      <w:proofErr w:type="gramStart"/>
      <w:r w:rsidR="00A96C95" w:rsidRPr="0034148C">
        <w:t>were deducted</w:t>
      </w:r>
      <w:proofErr w:type="gramEnd"/>
      <w:r w:rsidR="00A96C95" w:rsidRPr="0034148C">
        <w:t xml:space="preserve">. </w:t>
      </w:r>
      <w:r w:rsidR="00BB304D">
        <w:t>About half</w:t>
      </w:r>
      <w:r w:rsidR="00A96C95" w:rsidRPr="0034148C">
        <w:t xml:space="preserve"> of the businesses (</w:t>
      </w:r>
      <w:r w:rsidR="00BB304D">
        <w:t>48</w:t>
      </w:r>
      <w:r w:rsidR="00A96C95" w:rsidRPr="0034148C">
        <w:t xml:space="preserve">%) had earned </w:t>
      </w:r>
      <w:r w:rsidR="004E0963" w:rsidRPr="0034148C">
        <w:t xml:space="preserve">back </w:t>
      </w:r>
      <w:r w:rsidR="00A96C95" w:rsidRPr="0034148C">
        <w:t>more than the amount of the grant by June 2012. Sales ente</w:t>
      </w:r>
      <w:r w:rsidR="000E2522" w:rsidRPr="0034148C">
        <w:t>rprises and other (non-agricultural) production enterprises had the highest rate of success (</w:t>
      </w:r>
      <w:r w:rsidR="00BB304D">
        <w:t>78</w:t>
      </w:r>
      <w:r w:rsidR="000E2522" w:rsidRPr="0034148C">
        <w:t xml:space="preserve">% and </w:t>
      </w:r>
      <w:r w:rsidR="00BB304D">
        <w:t>67</w:t>
      </w:r>
      <w:r w:rsidR="000E2522" w:rsidRPr="0034148C">
        <w:t>% respectively), followed by service enterprises (</w:t>
      </w:r>
      <w:r w:rsidR="00BB304D">
        <w:t>46</w:t>
      </w:r>
      <w:r w:rsidR="000E2522" w:rsidRPr="0034148C">
        <w:t>%) and finally agricultural enterprises (1</w:t>
      </w:r>
      <w:r w:rsidR="00BB304D">
        <w:t>1</w:t>
      </w:r>
      <w:r w:rsidR="000E2522" w:rsidRPr="0034148C">
        <w:t>%).</w:t>
      </w:r>
      <w:r w:rsidR="0096323B">
        <w:t xml:space="preserve"> If the businesses describe</w:t>
      </w:r>
      <w:r w:rsidR="009F44C0">
        <w:t>d</w:t>
      </w:r>
      <w:r w:rsidR="0096323B">
        <w:t xml:space="preserve"> in the previous paragraph </w:t>
      </w:r>
      <w:proofErr w:type="gramStart"/>
      <w:r w:rsidR="0096323B">
        <w:t>are omitted</w:t>
      </w:r>
      <w:proofErr w:type="gramEnd"/>
      <w:r w:rsidR="0096323B">
        <w:t xml:space="preserve"> from this calculation, </w:t>
      </w:r>
      <w:r w:rsidR="009F44C0">
        <w:t>it can be said that</w:t>
      </w:r>
      <w:r w:rsidR="0096323B">
        <w:t xml:space="preserve"> </w:t>
      </w:r>
      <w:r w:rsidR="00BB304D">
        <w:t>40</w:t>
      </w:r>
      <w:r w:rsidR="009F44C0">
        <w:t xml:space="preserve"> of 74 or </w:t>
      </w:r>
      <w:r w:rsidR="00BB304D">
        <w:t>54</w:t>
      </w:r>
      <w:r w:rsidR="009F44C0">
        <w:t>% had earned back the amount of the grant.</w:t>
      </w:r>
    </w:p>
    <w:p w:rsidR="00F309A6" w:rsidRPr="0034148C" w:rsidRDefault="003C1EE2" w:rsidP="00765E71">
      <w:r w:rsidRPr="0034148C">
        <w:t xml:space="preserve">As another measure of the effectiveness of the program, </w:t>
      </w:r>
      <w:r w:rsidR="00765E71" w:rsidRPr="0034148C">
        <w:t xml:space="preserve">Table 4.2.2 examines the </w:t>
      </w:r>
      <w:r w:rsidR="00664719" w:rsidRPr="0034148C">
        <w:t>total amount of profit made by the women’s businesses by type by the end of the program.</w:t>
      </w:r>
      <w:r w:rsidRPr="0034148C">
        <w:t xml:space="preserve"> </w:t>
      </w:r>
      <w:proofErr w:type="gramStart"/>
      <w:r w:rsidRPr="0034148C">
        <w:t>Overall</w:t>
      </w:r>
      <w:proofErr w:type="gramEnd"/>
      <w:r w:rsidRPr="0034148C">
        <w:t xml:space="preserve"> the 83 businesses made $1</w:t>
      </w:r>
      <w:r w:rsidR="003F22D1">
        <w:t>21</w:t>
      </w:r>
      <w:r w:rsidRPr="0034148C">
        <w:t>,</w:t>
      </w:r>
      <w:r w:rsidR="003F22D1">
        <w:t>008</w:t>
      </w:r>
      <w:r w:rsidRPr="0034148C">
        <w:t xml:space="preserve"> net profit by June 2012. If the initial grant money </w:t>
      </w:r>
      <w:proofErr w:type="gramStart"/>
      <w:r w:rsidRPr="0034148C">
        <w:t>is subtracted</w:t>
      </w:r>
      <w:proofErr w:type="gramEnd"/>
      <w:r w:rsidRPr="0034148C">
        <w:t xml:space="preserve"> from this, the total profits made were $</w:t>
      </w:r>
      <w:r w:rsidR="003F22D1">
        <w:t>45</w:t>
      </w:r>
      <w:r w:rsidRPr="0034148C">
        <w:t>,</w:t>
      </w:r>
      <w:r w:rsidR="003F22D1">
        <w:t>472</w:t>
      </w:r>
      <w:r w:rsidRPr="0034148C">
        <w:t xml:space="preserve">. </w:t>
      </w:r>
      <w:r w:rsidR="00F309A6" w:rsidRPr="0034148C">
        <w:t xml:space="preserve">By round, </w:t>
      </w:r>
      <w:r w:rsidR="00CD1A8A" w:rsidRPr="0034148C">
        <w:t xml:space="preserve">it </w:t>
      </w:r>
      <w:proofErr w:type="gramStart"/>
      <w:r w:rsidR="00CD1A8A" w:rsidRPr="0034148C">
        <w:t>is seen</w:t>
      </w:r>
      <w:proofErr w:type="gramEnd"/>
      <w:r w:rsidR="00CD1A8A" w:rsidRPr="0034148C">
        <w:t xml:space="preserve"> </w:t>
      </w:r>
      <w:r w:rsidR="00F309A6" w:rsidRPr="0034148C">
        <w:t>that the Round 3 businesses had l</w:t>
      </w:r>
      <w:r w:rsidR="00CD1A8A" w:rsidRPr="0034148C">
        <w:t>ower</w:t>
      </w:r>
      <w:r w:rsidR="00F309A6" w:rsidRPr="0034148C">
        <w:t xml:space="preserve"> profits than those funded under Round </w:t>
      </w:r>
      <w:r w:rsidR="00CD1A8A" w:rsidRPr="0034148C">
        <w:t>1</w:t>
      </w:r>
      <w:r w:rsidR="00F309A6" w:rsidRPr="0034148C">
        <w:t xml:space="preserve"> and Round </w:t>
      </w:r>
      <w:r w:rsidR="00CD1A8A" w:rsidRPr="0034148C">
        <w:t>2; this is because they had been operational for only 6 months by the end of the program period</w:t>
      </w:r>
      <w:r w:rsidR="00F309A6" w:rsidRPr="0034148C">
        <w:t xml:space="preserve">. </w:t>
      </w:r>
    </w:p>
    <w:p w:rsidR="00664719" w:rsidRPr="0034148C" w:rsidRDefault="00664719" w:rsidP="00664719">
      <w:pPr>
        <w:pStyle w:val="Heading4"/>
      </w:pPr>
      <w:bookmarkStart w:id="140" w:name="_Toc338572013"/>
      <w:bookmarkStart w:id="141" w:name="_Toc338717194"/>
      <w:bookmarkStart w:id="142" w:name="_Toc338750268"/>
      <w:bookmarkStart w:id="143" w:name="_Toc339368880"/>
      <w:r w:rsidRPr="0034148C">
        <w:t>Table 4.2.</w:t>
      </w:r>
      <w:r w:rsidR="00380384" w:rsidRPr="0034148C">
        <w:t>2</w:t>
      </w:r>
      <w:r w:rsidRPr="0034148C">
        <w:t xml:space="preserve"> </w:t>
      </w:r>
      <w:r w:rsidR="003D03CD" w:rsidRPr="0034148C">
        <w:t>T</w:t>
      </w:r>
      <w:r w:rsidR="009F0FAE" w:rsidRPr="0034148C">
        <w:t>otal net profit made by the women entrepreneurs program by type of enterprise</w:t>
      </w:r>
      <w:r w:rsidR="008522D4" w:rsidRPr="0034148C">
        <w:t xml:space="preserve"> (in </w:t>
      </w:r>
      <w:r w:rsidR="00BA5DC5" w:rsidRPr="0034148C">
        <w:t>USD</w:t>
      </w:r>
      <w:r w:rsidR="008522D4" w:rsidRPr="0034148C">
        <w:t>)</w:t>
      </w:r>
      <w:bookmarkEnd w:id="140"/>
      <w:bookmarkEnd w:id="141"/>
      <w:bookmarkEnd w:id="142"/>
      <w:bookmarkEnd w:id="143"/>
    </w:p>
    <w:tbl>
      <w:tblPr>
        <w:tblStyle w:val="TableGrid"/>
        <w:tblW w:w="4662" w:type="pct"/>
        <w:tblInd w:w="108" w:type="dxa"/>
        <w:tblLook w:val="04A0"/>
      </w:tblPr>
      <w:tblGrid>
        <w:gridCol w:w="2162"/>
        <w:gridCol w:w="826"/>
        <w:gridCol w:w="827"/>
        <w:gridCol w:w="827"/>
        <w:gridCol w:w="941"/>
        <w:gridCol w:w="827"/>
        <w:gridCol w:w="827"/>
        <w:gridCol w:w="863"/>
        <w:gridCol w:w="829"/>
      </w:tblGrid>
      <w:tr w:rsidR="008522D4" w:rsidRPr="0034148C" w:rsidTr="003F22D1">
        <w:trPr>
          <w:trHeight w:val="288"/>
        </w:trPr>
        <w:tc>
          <w:tcPr>
            <w:tcW w:w="1211" w:type="pct"/>
            <w:tcBorders>
              <w:left w:val="single" w:sz="18" w:space="0" w:color="auto"/>
              <w:right w:val="single" w:sz="18" w:space="0" w:color="auto"/>
            </w:tcBorders>
          </w:tcPr>
          <w:p w:rsidR="008522D4" w:rsidRPr="0034148C" w:rsidRDefault="008522D4" w:rsidP="00944047">
            <w:pPr>
              <w:spacing w:after="0"/>
              <w:rPr>
                <w:rFonts w:asciiTheme="minorHAnsi" w:hAnsiTheme="minorHAnsi" w:cstheme="minorHAnsi"/>
                <w:b/>
                <w:bCs/>
                <w:sz w:val="20"/>
                <w:szCs w:val="20"/>
              </w:rPr>
            </w:pPr>
          </w:p>
        </w:tc>
        <w:tc>
          <w:tcPr>
            <w:tcW w:w="1916" w:type="pct"/>
            <w:gridSpan w:val="4"/>
            <w:tcBorders>
              <w:left w:val="single" w:sz="18" w:space="0" w:color="auto"/>
              <w:right w:val="single" w:sz="18" w:space="0" w:color="auto"/>
            </w:tcBorders>
          </w:tcPr>
          <w:p w:rsidR="008522D4" w:rsidRPr="0034148C" w:rsidRDefault="008522D4" w:rsidP="00983C42">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(1)</w:t>
            </w:r>
          </w:p>
        </w:tc>
        <w:tc>
          <w:tcPr>
            <w:tcW w:w="1874" w:type="pct"/>
            <w:gridSpan w:val="4"/>
            <w:tcBorders>
              <w:right w:val="single" w:sz="18" w:space="0" w:color="auto"/>
            </w:tcBorders>
          </w:tcPr>
          <w:p w:rsidR="008522D4" w:rsidRPr="0034148C" w:rsidRDefault="008522D4" w:rsidP="00983C42">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(2)</w:t>
            </w:r>
          </w:p>
        </w:tc>
      </w:tr>
      <w:tr w:rsidR="008522D4" w:rsidRPr="0034148C" w:rsidTr="003F22D1">
        <w:trPr>
          <w:trHeight w:val="288"/>
        </w:trPr>
        <w:tc>
          <w:tcPr>
            <w:tcW w:w="1211" w:type="pct"/>
            <w:tcBorders>
              <w:left w:val="single" w:sz="18" w:space="0" w:color="auto"/>
              <w:right w:val="single" w:sz="18" w:space="0" w:color="auto"/>
            </w:tcBorders>
          </w:tcPr>
          <w:p w:rsidR="008522D4" w:rsidRPr="0034148C" w:rsidRDefault="008522D4" w:rsidP="00944047">
            <w:pPr>
              <w:spacing w:after="0"/>
              <w:rPr>
                <w:rFonts w:asciiTheme="minorHAnsi" w:hAnsiTheme="minorHAnsi" w:cstheme="minorHAnsi"/>
                <w:b/>
                <w:bCs/>
                <w:sz w:val="20"/>
                <w:szCs w:val="20"/>
              </w:rPr>
            </w:pPr>
          </w:p>
        </w:tc>
        <w:tc>
          <w:tcPr>
            <w:tcW w:w="1916" w:type="pct"/>
            <w:gridSpan w:val="4"/>
            <w:tcBorders>
              <w:left w:val="single" w:sz="18" w:space="0" w:color="auto"/>
              <w:right w:val="single" w:sz="18" w:space="0" w:color="auto"/>
            </w:tcBorders>
          </w:tcPr>
          <w:p w:rsidR="008522D4" w:rsidRPr="0034148C" w:rsidRDefault="008522D4" w:rsidP="00983C42">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Total net profit</w:t>
            </w:r>
          </w:p>
        </w:tc>
        <w:tc>
          <w:tcPr>
            <w:tcW w:w="1874" w:type="pct"/>
            <w:gridSpan w:val="4"/>
            <w:tcBorders>
              <w:right w:val="single" w:sz="18" w:space="0" w:color="auto"/>
            </w:tcBorders>
          </w:tcPr>
          <w:p w:rsidR="008522D4" w:rsidRPr="0034148C" w:rsidRDefault="008522D4" w:rsidP="00983C42">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Total net profit minus grant</w:t>
            </w:r>
          </w:p>
        </w:tc>
      </w:tr>
      <w:tr w:rsidR="003F22D1" w:rsidRPr="0034148C" w:rsidTr="003F22D1">
        <w:trPr>
          <w:trHeight w:val="288"/>
        </w:trPr>
        <w:tc>
          <w:tcPr>
            <w:tcW w:w="1211" w:type="pct"/>
            <w:tcBorders>
              <w:left w:val="single" w:sz="18" w:space="0" w:color="auto"/>
              <w:right w:val="single" w:sz="18" w:space="0" w:color="auto"/>
            </w:tcBorders>
          </w:tcPr>
          <w:p w:rsidR="00EA52EF" w:rsidRPr="0034148C" w:rsidRDefault="00EA52EF" w:rsidP="00944047">
            <w:pPr>
              <w:spacing w:after="0"/>
              <w:rPr>
                <w:rFonts w:asciiTheme="minorHAnsi" w:hAnsiTheme="minorHAnsi" w:cstheme="minorHAnsi"/>
                <w:b/>
                <w:bCs/>
                <w:sz w:val="20"/>
                <w:szCs w:val="20"/>
              </w:rPr>
            </w:pPr>
            <w:r w:rsidRPr="0034148C">
              <w:rPr>
                <w:rFonts w:asciiTheme="minorHAnsi" w:hAnsiTheme="minorHAnsi" w:cstheme="minorHAnsi"/>
                <w:b/>
                <w:bCs/>
                <w:sz w:val="20"/>
                <w:szCs w:val="20"/>
              </w:rPr>
              <w:t>Type of enterprise</w:t>
            </w:r>
          </w:p>
        </w:tc>
        <w:tc>
          <w:tcPr>
            <w:tcW w:w="463" w:type="pct"/>
            <w:tcBorders>
              <w:left w:val="single" w:sz="18" w:space="0" w:color="auto"/>
            </w:tcBorders>
          </w:tcPr>
          <w:p w:rsidR="00EA52EF" w:rsidRPr="0034148C" w:rsidRDefault="00EA52EF" w:rsidP="00944047">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1</w:t>
            </w:r>
          </w:p>
        </w:tc>
        <w:tc>
          <w:tcPr>
            <w:tcW w:w="463" w:type="pct"/>
          </w:tcPr>
          <w:p w:rsidR="00EA52EF" w:rsidRPr="0034148C" w:rsidRDefault="00EA52EF" w:rsidP="00944047">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2</w:t>
            </w:r>
          </w:p>
        </w:tc>
        <w:tc>
          <w:tcPr>
            <w:tcW w:w="463" w:type="pct"/>
          </w:tcPr>
          <w:p w:rsidR="00EA52EF" w:rsidRPr="0034148C" w:rsidRDefault="00EA52EF" w:rsidP="00944047">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3</w:t>
            </w:r>
          </w:p>
        </w:tc>
        <w:tc>
          <w:tcPr>
            <w:tcW w:w="526" w:type="pct"/>
            <w:tcBorders>
              <w:right w:val="single" w:sz="18" w:space="0" w:color="auto"/>
            </w:tcBorders>
          </w:tcPr>
          <w:p w:rsidR="00EA52EF" w:rsidRPr="0034148C" w:rsidRDefault="00EA52EF" w:rsidP="00944047">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Total</w:t>
            </w:r>
          </w:p>
        </w:tc>
        <w:tc>
          <w:tcPr>
            <w:tcW w:w="463" w:type="pct"/>
            <w:tcBorders>
              <w:right w:val="single" w:sz="4" w:space="0" w:color="auto"/>
            </w:tcBorders>
          </w:tcPr>
          <w:p w:rsidR="00EA52EF" w:rsidRPr="0034148C" w:rsidRDefault="00EA52EF" w:rsidP="00944047">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1</w:t>
            </w:r>
          </w:p>
        </w:tc>
        <w:tc>
          <w:tcPr>
            <w:tcW w:w="463" w:type="pct"/>
            <w:tcBorders>
              <w:left w:val="single" w:sz="4" w:space="0" w:color="auto"/>
              <w:right w:val="single" w:sz="4" w:space="0" w:color="auto"/>
            </w:tcBorders>
          </w:tcPr>
          <w:p w:rsidR="00EA52EF" w:rsidRPr="0034148C" w:rsidRDefault="00EA52EF" w:rsidP="00944047">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2</w:t>
            </w:r>
          </w:p>
        </w:tc>
        <w:tc>
          <w:tcPr>
            <w:tcW w:w="483" w:type="pct"/>
            <w:tcBorders>
              <w:left w:val="single" w:sz="4" w:space="0" w:color="auto"/>
              <w:right w:val="single" w:sz="4" w:space="0" w:color="auto"/>
            </w:tcBorders>
          </w:tcPr>
          <w:p w:rsidR="00EA52EF" w:rsidRPr="0034148C" w:rsidRDefault="00EA52EF" w:rsidP="00944047">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3</w:t>
            </w:r>
          </w:p>
        </w:tc>
        <w:tc>
          <w:tcPr>
            <w:tcW w:w="464" w:type="pct"/>
            <w:tcBorders>
              <w:left w:val="single" w:sz="4" w:space="0" w:color="auto"/>
              <w:right w:val="single" w:sz="18" w:space="0" w:color="auto"/>
            </w:tcBorders>
          </w:tcPr>
          <w:p w:rsidR="00EA52EF" w:rsidRPr="0034148C" w:rsidRDefault="00EA52EF" w:rsidP="00944047">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Total</w:t>
            </w:r>
          </w:p>
        </w:tc>
      </w:tr>
      <w:tr w:rsidR="003F22D1" w:rsidRPr="0034148C" w:rsidTr="003F22D1">
        <w:trPr>
          <w:trHeight w:val="288"/>
        </w:trPr>
        <w:tc>
          <w:tcPr>
            <w:tcW w:w="1211" w:type="pct"/>
            <w:tcBorders>
              <w:left w:val="single" w:sz="18" w:space="0" w:color="auto"/>
              <w:right w:val="single" w:sz="18" w:space="0" w:color="auto"/>
            </w:tcBorders>
          </w:tcPr>
          <w:p w:rsidR="003F22D1" w:rsidRPr="0034148C" w:rsidRDefault="003F22D1" w:rsidP="00944047">
            <w:pPr>
              <w:spacing w:after="0"/>
              <w:rPr>
                <w:rFonts w:asciiTheme="minorHAnsi" w:hAnsiTheme="minorHAnsi" w:cstheme="minorHAnsi"/>
                <w:sz w:val="20"/>
                <w:szCs w:val="20"/>
              </w:rPr>
            </w:pPr>
            <w:r w:rsidRPr="0034148C">
              <w:rPr>
                <w:rFonts w:asciiTheme="minorHAnsi" w:hAnsiTheme="minorHAnsi" w:cstheme="minorHAnsi"/>
                <w:sz w:val="20"/>
                <w:szCs w:val="20"/>
              </w:rPr>
              <w:t xml:space="preserve">Sales </w:t>
            </w:r>
          </w:p>
        </w:tc>
        <w:tc>
          <w:tcPr>
            <w:tcW w:w="463" w:type="pct"/>
            <w:tcBorders>
              <w:lef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28,729</w:t>
            </w:r>
          </w:p>
        </w:tc>
        <w:tc>
          <w:tcPr>
            <w:tcW w:w="463" w:type="pct"/>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15,893</w:t>
            </w:r>
          </w:p>
        </w:tc>
        <w:tc>
          <w:tcPr>
            <w:tcW w:w="463" w:type="pct"/>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7,168</w:t>
            </w:r>
          </w:p>
        </w:tc>
        <w:tc>
          <w:tcPr>
            <w:tcW w:w="526" w:type="pct"/>
            <w:tcBorders>
              <w:righ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51,791</w:t>
            </w:r>
          </w:p>
        </w:tc>
        <w:tc>
          <w:tcPr>
            <w:tcW w:w="463" w:type="pct"/>
            <w:tcBorders>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19,767</w:t>
            </w:r>
          </w:p>
        </w:tc>
        <w:tc>
          <w:tcPr>
            <w:tcW w:w="463" w:type="pct"/>
            <w:tcBorders>
              <w:left w:val="single" w:sz="4"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9,549</w:t>
            </w:r>
          </w:p>
        </w:tc>
        <w:tc>
          <w:tcPr>
            <w:tcW w:w="483" w:type="pct"/>
            <w:tcBorders>
              <w:left w:val="single" w:sz="4"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1,900</w:t>
            </w:r>
          </w:p>
        </w:tc>
        <w:tc>
          <w:tcPr>
            <w:tcW w:w="464" w:type="pct"/>
            <w:tcBorders>
              <w:left w:val="single" w:sz="4" w:space="0" w:color="auto"/>
              <w:righ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31,216</w:t>
            </w:r>
          </w:p>
        </w:tc>
      </w:tr>
      <w:tr w:rsidR="003F22D1" w:rsidRPr="0034148C" w:rsidTr="003F22D1">
        <w:trPr>
          <w:trHeight w:val="288"/>
        </w:trPr>
        <w:tc>
          <w:tcPr>
            <w:tcW w:w="1211" w:type="pct"/>
            <w:tcBorders>
              <w:left w:val="single" w:sz="18" w:space="0" w:color="auto"/>
              <w:right w:val="single" w:sz="18" w:space="0" w:color="auto"/>
            </w:tcBorders>
          </w:tcPr>
          <w:p w:rsidR="003F22D1" w:rsidRPr="0034148C" w:rsidRDefault="003F22D1" w:rsidP="00944047">
            <w:pPr>
              <w:spacing w:after="0"/>
              <w:rPr>
                <w:rFonts w:asciiTheme="minorHAnsi" w:hAnsiTheme="minorHAnsi" w:cstheme="minorHAnsi"/>
                <w:sz w:val="20"/>
                <w:szCs w:val="20"/>
              </w:rPr>
            </w:pPr>
            <w:r w:rsidRPr="0034148C">
              <w:rPr>
                <w:rFonts w:asciiTheme="minorHAnsi" w:hAnsiTheme="minorHAnsi" w:cstheme="minorHAnsi"/>
                <w:sz w:val="20"/>
                <w:szCs w:val="20"/>
              </w:rPr>
              <w:t>Services</w:t>
            </w:r>
          </w:p>
        </w:tc>
        <w:tc>
          <w:tcPr>
            <w:tcW w:w="463" w:type="pct"/>
            <w:tcBorders>
              <w:lef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20,241</w:t>
            </w:r>
          </w:p>
        </w:tc>
        <w:tc>
          <w:tcPr>
            <w:tcW w:w="463" w:type="pct"/>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16,856</w:t>
            </w:r>
          </w:p>
        </w:tc>
        <w:tc>
          <w:tcPr>
            <w:tcW w:w="463" w:type="pct"/>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2,683</w:t>
            </w:r>
          </w:p>
        </w:tc>
        <w:tc>
          <w:tcPr>
            <w:tcW w:w="526" w:type="pct"/>
            <w:tcBorders>
              <w:righ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39,780</w:t>
            </w:r>
          </w:p>
        </w:tc>
        <w:tc>
          <w:tcPr>
            <w:tcW w:w="463" w:type="pct"/>
            <w:tcBorders>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10,542</w:t>
            </w:r>
          </w:p>
        </w:tc>
        <w:tc>
          <w:tcPr>
            <w:tcW w:w="463" w:type="pct"/>
            <w:tcBorders>
              <w:left w:val="single" w:sz="4"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2,547</w:t>
            </w:r>
          </w:p>
        </w:tc>
        <w:tc>
          <w:tcPr>
            <w:tcW w:w="483" w:type="pct"/>
            <w:tcBorders>
              <w:left w:val="single" w:sz="4"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-5,263</w:t>
            </w:r>
          </w:p>
        </w:tc>
        <w:tc>
          <w:tcPr>
            <w:tcW w:w="464" w:type="pct"/>
            <w:tcBorders>
              <w:left w:val="single" w:sz="4" w:space="0" w:color="auto"/>
              <w:righ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7,826</w:t>
            </w:r>
          </w:p>
        </w:tc>
      </w:tr>
      <w:tr w:rsidR="003F22D1" w:rsidRPr="0034148C" w:rsidTr="003F22D1">
        <w:trPr>
          <w:trHeight w:val="288"/>
        </w:trPr>
        <w:tc>
          <w:tcPr>
            <w:tcW w:w="1211" w:type="pct"/>
            <w:tcBorders>
              <w:left w:val="single" w:sz="18" w:space="0" w:color="auto"/>
              <w:right w:val="single" w:sz="18" w:space="0" w:color="auto"/>
            </w:tcBorders>
          </w:tcPr>
          <w:p w:rsidR="003F22D1" w:rsidRPr="0034148C" w:rsidRDefault="003F22D1" w:rsidP="00944047">
            <w:pPr>
              <w:spacing w:after="0"/>
              <w:rPr>
                <w:rFonts w:asciiTheme="minorHAnsi" w:hAnsiTheme="minorHAnsi" w:cstheme="minorHAnsi"/>
                <w:sz w:val="20"/>
                <w:szCs w:val="20"/>
              </w:rPr>
            </w:pPr>
            <w:r w:rsidRPr="0034148C">
              <w:rPr>
                <w:rFonts w:asciiTheme="minorHAnsi" w:hAnsiTheme="minorHAnsi" w:cstheme="minorHAnsi"/>
                <w:sz w:val="20"/>
                <w:szCs w:val="20"/>
              </w:rPr>
              <w:t>Agricultural production</w:t>
            </w:r>
          </w:p>
        </w:tc>
        <w:tc>
          <w:tcPr>
            <w:tcW w:w="463" w:type="pct"/>
            <w:tcBorders>
              <w:lef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732</w:t>
            </w:r>
          </w:p>
        </w:tc>
        <w:tc>
          <w:tcPr>
            <w:tcW w:w="463" w:type="pct"/>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11,654</w:t>
            </w:r>
          </w:p>
        </w:tc>
        <w:tc>
          <w:tcPr>
            <w:tcW w:w="463" w:type="pct"/>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498</w:t>
            </w:r>
          </w:p>
        </w:tc>
        <w:tc>
          <w:tcPr>
            <w:tcW w:w="526" w:type="pct"/>
            <w:tcBorders>
              <w:righ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12,883</w:t>
            </w:r>
          </w:p>
        </w:tc>
        <w:tc>
          <w:tcPr>
            <w:tcW w:w="463" w:type="pct"/>
            <w:tcBorders>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-1,970</w:t>
            </w:r>
          </w:p>
        </w:tc>
        <w:tc>
          <w:tcPr>
            <w:tcW w:w="463" w:type="pct"/>
            <w:tcBorders>
              <w:left w:val="single" w:sz="4"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3,906</w:t>
            </w:r>
          </w:p>
        </w:tc>
        <w:tc>
          <w:tcPr>
            <w:tcW w:w="483" w:type="pct"/>
            <w:tcBorders>
              <w:left w:val="single" w:sz="4"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-7,082</w:t>
            </w:r>
          </w:p>
        </w:tc>
        <w:tc>
          <w:tcPr>
            <w:tcW w:w="464" w:type="pct"/>
            <w:tcBorders>
              <w:left w:val="single" w:sz="4" w:space="0" w:color="auto"/>
              <w:righ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-5,147</w:t>
            </w:r>
          </w:p>
        </w:tc>
      </w:tr>
      <w:tr w:rsidR="003F22D1" w:rsidRPr="0034148C" w:rsidTr="003F22D1">
        <w:trPr>
          <w:trHeight w:val="288"/>
        </w:trPr>
        <w:tc>
          <w:tcPr>
            <w:tcW w:w="1211" w:type="pct"/>
            <w:tcBorders>
              <w:left w:val="single" w:sz="18" w:space="0" w:color="auto"/>
              <w:right w:val="single" w:sz="18" w:space="0" w:color="auto"/>
            </w:tcBorders>
          </w:tcPr>
          <w:p w:rsidR="003F22D1" w:rsidRPr="0034148C" w:rsidRDefault="003F22D1" w:rsidP="00944047">
            <w:pPr>
              <w:spacing w:after="0"/>
              <w:rPr>
                <w:rFonts w:asciiTheme="minorHAnsi" w:hAnsiTheme="minorHAnsi" w:cstheme="minorHAnsi"/>
                <w:sz w:val="20"/>
                <w:szCs w:val="20"/>
              </w:rPr>
            </w:pPr>
            <w:r w:rsidRPr="0034148C">
              <w:rPr>
                <w:rFonts w:asciiTheme="minorHAnsi" w:hAnsiTheme="minorHAnsi" w:cstheme="minorHAnsi"/>
                <w:sz w:val="20"/>
                <w:szCs w:val="20"/>
              </w:rPr>
              <w:t>Other production</w:t>
            </w:r>
          </w:p>
        </w:tc>
        <w:tc>
          <w:tcPr>
            <w:tcW w:w="463" w:type="pct"/>
            <w:tcBorders>
              <w:lef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1,272</w:t>
            </w:r>
          </w:p>
        </w:tc>
        <w:tc>
          <w:tcPr>
            <w:tcW w:w="463" w:type="pct"/>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9,957</w:t>
            </w:r>
          </w:p>
        </w:tc>
        <w:tc>
          <w:tcPr>
            <w:tcW w:w="463" w:type="pct"/>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5,325</w:t>
            </w:r>
          </w:p>
        </w:tc>
        <w:tc>
          <w:tcPr>
            <w:tcW w:w="526" w:type="pct"/>
            <w:tcBorders>
              <w:righ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16,553</w:t>
            </w:r>
          </w:p>
        </w:tc>
        <w:tc>
          <w:tcPr>
            <w:tcW w:w="463" w:type="pct"/>
            <w:tcBorders>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-69</w:t>
            </w:r>
          </w:p>
        </w:tc>
        <w:tc>
          <w:tcPr>
            <w:tcW w:w="463" w:type="pct"/>
            <w:tcBorders>
              <w:left w:val="single" w:sz="4"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8,957</w:t>
            </w:r>
          </w:p>
        </w:tc>
        <w:tc>
          <w:tcPr>
            <w:tcW w:w="483" w:type="pct"/>
            <w:tcBorders>
              <w:left w:val="single" w:sz="4"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2,689</w:t>
            </w:r>
          </w:p>
        </w:tc>
        <w:tc>
          <w:tcPr>
            <w:tcW w:w="464" w:type="pct"/>
            <w:tcBorders>
              <w:left w:val="single" w:sz="4" w:space="0" w:color="auto"/>
              <w:righ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11,576</w:t>
            </w:r>
          </w:p>
        </w:tc>
      </w:tr>
      <w:tr w:rsidR="003F22D1" w:rsidRPr="0034148C" w:rsidTr="003F22D1">
        <w:trPr>
          <w:trHeight w:val="288"/>
        </w:trPr>
        <w:tc>
          <w:tcPr>
            <w:tcW w:w="1211" w:type="pct"/>
            <w:tcBorders>
              <w:left w:val="single" w:sz="18" w:space="0" w:color="auto"/>
              <w:bottom w:val="single" w:sz="18" w:space="0" w:color="auto"/>
              <w:right w:val="single" w:sz="18" w:space="0" w:color="auto"/>
            </w:tcBorders>
          </w:tcPr>
          <w:p w:rsidR="003F22D1" w:rsidRPr="0034148C" w:rsidRDefault="003F22D1" w:rsidP="00944047">
            <w:pPr>
              <w:spacing w:after="0"/>
              <w:rPr>
                <w:rFonts w:asciiTheme="minorHAnsi" w:hAnsiTheme="minorHAnsi" w:cstheme="minorHAnsi"/>
                <w:b/>
                <w:bCs/>
                <w:sz w:val="20"/>
                <w:szCs w:val="20"/>
              </w:rPr>
            </w:pPr>
            <w:r w:rsidRPr="0034148C">
              <w:rPr>
                <w:rFonts w:asciiTheme="minorHAnsi" w:hAnsiTheme="minorHAnsi" w:cstheme="minorHAnsi"/>
                <w:b/>
                <w:bCs/>
                <w:sz w:val="20"/>
                <w:szCs w:val="20"/>
              </w:rPr>
              <w:t>Total</w:t>
            </w:r>
          </w:p>
        </w:tc>
        <w:tc>
          <w:tcPr>
            <w:tcW w:w="463" w:type="pct"/>
            <w:tcBorders>
              <w:left w:val="single" w:sz="18" w:space="0" w:color="auto"/>
              <w:bottom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50,973</w:t>
            </w:r>
          </w:p>
        </w:tc>
        <w:tc>
          <w:tcPr>
            <w:tcW w:w="463" w:type="pct"/>
            <w:tcBorders>
              <w:bottom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54,360</w:t>
            </w:r>
          </w:p>
        </w:tc>
        <w:tc>
          <w:tcPr>
            <w:tcW w:w="463" w:type="pct"/>
            <w:tcBorders>
              <w:bottom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15,675</w:t>
            </w:r>
          </w:p>
        </w:tc>
        <w:tc>
          <w:tcPr>
            <w:tcW w:w="526" w:type="pct"/>
            <w:tcBorders>
              <w:bottom w:val="single" w:sz="18" w:space="0" w:color="auto"/>
              <w:righ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121,008</w:t>
            </w:r>
          </w:p>
        </w:tc>
        <w:tc>
          <w:tcPr>
            <w:tcW w:w="463" w:type="pct"/>
            <w:tcBorders>
              <w:bottom w:val="single" w:sz="18"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28,269</w:t>
            </w:r>
          </w:p>
        </w:tc>
        <w:tc>
          <w:tcPr>
            <w:tcW w:w="463" w:type="pct"/>
            <w:tcBorders>
              <w:left w:val="single" w:sz="4" w:space="0" w:color="auto"/>
              <w:bottom w:val="single" w:sz="18"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24,959</w:t>
            </w:r>
          </w:p>
        </w:tc>
        <w:tc>
          <w:tcPr>
            <w:tcW w:w="483" w:type="pct"/>
            <w:tcBorders>
              <w:left w:val="single" w:sz="4" w:space="0" w:color="auto"/>
              <w:bottom w:val="single" w:sz="18" w:space="0" w:color="auto"/>
              <w:right w:val="single" w:sz="4"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-7,756</w:t>
            </w:r>
          </w:p>
        </w:tc>
        <w:tc>
          <w:tcPr>
            <w:tcW w:w="464" w:type="pct"/>
            <w:tcBorders>
              <w:left w:val="single" w:sz="4" w:space="0" w:color="auto"/>
              <w:bottom w:val="single" w:sz="18" w:space="0" w:color="auto"/>
              <w:right w:val="single" w:sz="18" w:space="0" w:color="auto"/>
            </w:tcBorders>
            <w:vAlign w:val="center"/>
          </w:tcPr>
          <w:p w:rsidR="003F22D1" w:rsidRPr="003F22D1" w:rsidRDefault="003F22D1" w:rsidP="003F22D1">
            <w:pPr>
              <w:spacing w:after="0"/>
              <w:jc w:val="right"/>
              <w:rPr>
                <w:rFonts w:asciiTheme="minorHAnsi" w:hAnsiTheme="minorHAnsi" w:cstheme="minorHAnsi"/>
                <w:sz w:val="20"/>
                <w:szCs w:val="20"/>
              </w:rPr>
            </w:pPr>
            <w:r w:rsidRPr="003F22D1">
              <w:rPr>
                <w:rFonts w:asciiTheme="minorHAnsi" w:hAnsiTheme="minorHAnsi" w:cstheme="minorHAnsi"/>
                <w:sz w:val="20"/>
                <w:szCs w:val="20"/>
              </w:rPr>
              <w:t>45,472</w:t>
            </w:r>
          </w:p>
        </w:tc>
      </w:tr>
    </w:tbl>
    <w:p w:rsidR="00664719" w:rsidRPr="0034148C" w:rsidRDefault="008522D4" w:rsidP="003D03CD">
      <w:pPr>
        <w:pStyle w:val="Figurenote"/>
      </w:pPr>
      <w:r w:rsidRPr="0034148C">
        <w:t>(1</w:t>
      </w:r>
      <w:r w:rsidR="00664719" w:rsidRPr="0034148C">
        <w:t xml:space="preserve">) </w:t>
      </w:r>
      <w:r w:rsidR="00F37CCC" w:rsidRPr="0034148C">
        <w:t>“</w:t>
      </w:r>
      <w:r w:rsidRPr="0034148C">
        <w:t>Total net</w:t>
      </w:r>
      <w:r w:rsidR="00664719" w:rsidRPr="0034148C">
        <w:t xml:space="preserve"> profit</w:t>
      </w:r>
      <w:r w:rsidR="00F37CCC" w:rsidRPr="0034148C">
        <w:t>”</w:t>
      </w:r>
      <w:r w:rsidR="00664719" w:rsidRPr="0034148C">
        <w:t xml:space="preserve"> means </w:t>
      </w:r>
      <w:r w:rsidRPr="0034148C">
        <w:t xml:space="preserve">the sum of all income minus </w:t>
      </w:r>
      <w:r w:rsidR="00F37CCC" w:rsidRPr="0034148C">
        <w:t xml:space="preserve">the sum of all </w:t>
      </w:r>
      <w:r w:rsidR="00664719" w:rsidRPr="0034148C">
        <w:t>expenses</w:t>
      </w:r>
      <w:r w:rsidR="00F37CCC" w:rsidRPr="0034148C">
        <w:t xml:space="preserve"> over the project period</w:t>
      </w:r>
      <w:r w:rsidR="00664719" w:rsidRPr="0034148C">
        <w:t>.</w:t>
      </w:r>
    </w:p>
    <w:p w:rsidR="00664719" w:rsidRPr="0034148C" w:rsidRDefault="00F37CCC" w:rsidP="003D03CD">
      <w:pPr>
        <w:pStyle w:val="Figurenote"/>
      </w:pPr>
      <w:r w:rsidRPr="0034148C">
        <w:t>(2</w:t>
      </w:r>
      <w:r w:rsidR="00664719" w:rsidRPr="0034148C">
        <w:t>)</w:t>
      </w:r>
      <w:r w:rsidRPr="0034148C">
        <w:t xml:space="preserve"> “Total net profit minus grant” means the sum of all income minus the sum of all expenses over the project period minus the amount of the original grant</w:t>
      </w:r>
      <w:r w:rsidR="00664719" w:rsidRPr="0034148C">
        <w:t>.</w:t>
      </w:r>
    </w:p>
    <w:p w:rsidR="003D03CD" w:rsidRPr="0034148C" w:rsidRDefault="003D03CD" w:rsidP="003D03CD">
      <w:pPr>
        <w:pStyle w:val="Figurenote"/>
      </w:pPr>
      <w:proofErr w:type="gramStart"/>
      <w:r w:rsidRPr="0034148C">
        <w:t>Source: Project monitoring database.</w:t>
      </w:r>
      <w:proofErr w:type="gramEnd"/>
    </w:p>
    <w:p w:rsidR="00605CDC" w:rsidRPr="0034148C" w:rsidRDefault="00605CDC" w:rsidP="00765E71"/>
    <w:p w:rsidR="0060342C" w:rsidRPr="0034148C" w:rsidRDefault="0060342C" w:rsidP="00765E71">
      <w:r w:rsidRPr="0034148C">
        <w:t xml:space="preserve">In summary, </w:t>
      </w:r>
      <w:r w:rsidR="005B6733" w:rsidRPr="0034148C">
        <w:t xml:space="preserve">the project </w:t>
      </w:r>
      <w:r w:rsidR="00605CDC" w:rsidRPr="0034148C">
        <w:t xml:space="preserve">essentially </w:t>
      </w:r>
      <w:r w:rsidR="005B6733" w:rsidRPr="0034148C">
        <w:t>reached it</w:t>
      </w:r>
      <w:r w:rsidRPr="0034148C">
        <w:t>s target output to fund 84 small businesses</w:t>
      </w:r>
      <w:r w:rsidR="005B6733" w:rsidRPr="0034148C">
        <w:t xml:space="preserve"> by </w:t>
      </w:r>
      <w:r w:rsidRPr="0034148C">
        <w:t>fund</w:t>
      </w:r>
      <w:r w:rsidR="005B6733" w:rsidRPr="0034148C">
        <w:t>ing</w:t>
      </w:r>
      <w:r w:rsidRPr="0034148C">
        <w:t xml:space="preserve"> 83</w:t>
      </w:r>
      <w:r w:rsidR="0053623A" w:rsidRPr="0034148C">
        <w:t xml:space="preserve"> </w:t>
      </w:r>
      <w:r w:rsidRPr="0034148C">
        <w:t xml:space="preserve">businesses through grants to 86 women. </w:t>
      </w:r>
      <w:r w:rsidR="003F22D1">
        <w:t xml:space="preserve">Nearly all </w:t>
      </w:r>
      <w:r w:rsidRPr="0034148C">
        <w:t>(9</w:t>
      </w:r>
      <w:r w:rsidR="003F22D1">
        <w:t>9</w:t>
      </w:r>
      <w:r w:rsidRPr="0034148C">
        <w:t xml:space="preserve">%) of these became operational, </w:t>
      </w:r>
      <w:r w:rsidRPr="001F3A03">
        <w:t xml:space="preserve">with </w:t>
      </w:r>
      <w:r w:rsidR="003F22D1">
        <w:t>95</w:t>
      </w:r>
      <w:r w:rsidRPr="001F3A03">
        <w:t>% still operating at the end</w:t>
      </w:r>
      <w:r w:rsidRPr="0034148C">
        <w:t xml:space="preserve"> of the project period. Moreover, 89% of the </w:t>
      </w:r>
      <w:r w:rsidRPr="0034148C">
        <w:lastRenderedPageBreak/>
        <w:t xml:space="preserve">businesses became profitable; and </w:t>
      </w:r>
      <w:r w:rsidR="003F22D1">
        <w:t>nearly half</w:t>
      </w:r>
      <w:r w:rsidRPr="0034148C">
        <w:t xml:space="preserve"> </w:t>
      </w:r>
      <w:r w:rsidR="005B6733" w:rsidRPr="0034148C">
        <w:t xml:space="preserve">would </w:t>
      </w:r>
      <w:r w:rsidR="00472B9C" w:rsidRPr="0034148C">
        <w:t>be</w:t>
      </w:r>
      <w:r w:rsidRPr="0034148C">
        <w:t xml:space="preserve"> profit</w:t>
      </w:r>
      <w:r w:rsidR="00472B9C" w:rsidRPr="0034148C">
        <w:t>a</w:t>
      </w:r>
      <w:r w:rsidRPr="0034148C">
        <w:t>ble</w:t>
      </w:r>
      <w:r w:rsidR="00472B9C" w:rsidRPr="0034148C">
        <w:t xml:space="preserve"> even if they were required to pay back the initial grant amount. By type of business, the agricultural production enterprises were less profitable</w:t>
      </w:r>
      <w:r w:rsidR="00271F4B" w:rsidRPr="0034148C">
        <w:t>; sales, services and other types of production enterprises had a greater degree of success.</w:t>
      </w:r>
      <w:r w:rsidR="00605CDC" w:rsidRPr="0034148C">
        <w:t xml:space="preserve"> </w:t>
      </w:r>
    </w:p>
    <w:p w:rsidR="006C7A62" w:rsidRPr="0034148C" w:rsidRDefault="000F3AE8" w:rsidP="006C7A62">
      <w:pPr>
        <w:pStyle w:val="Heading3"/>
      </w:pPr>
      <w:bookmarkStart w:id="144" w:name="_Toc338325591"/>
      <w:bookmarkStart w:id="145" w:name="_Toc338572126"/>
      <w:bookmarkStart w:id="146" w:name="_Toc338717138"/>
      <w:bookmarkStart w:id="147" w:name="_Toc338750169"/>
      <w:bookmarkStart w:id="148" w:name="_Toc339368762"/>
      <w:r w:rsidRPr="0034148C">
        <w:t xml:space="preserve">4.2.2 </w:t>
      </w:r>
      <w:r w:rsidR="006C7A62" w:rsidRPr="0034148C">
        <w:t>Effectiveness of the program in</w:t>
      </w:r>
      <w:r w:rsidRPr="0034148C">
        <w:t xml:space="preserve"> </w:t>
      </w:r>
      <w:r w:rsidR="00F0748E" w:rsidRPr="0034148C">
        <w:t xml:space="preserve">raising </w:t>
      </w:r>
      <w:r w:rsidRPr="0034148C">
        <w:t>income</w:t>
      </w:r>
      <w:r w:rsidR="00F0748E" w:rsidRPr="0034148C">
        <w:t>s</w:t>
      </w:r>
      <w:bookmarkEnd w:id="144"/>
      <w:bookmarkEnd w:id="145"/>
      <w:bookmarkEnd w:id="146"/>
      <w:bookmarkEnd w:id="147"/>
      <w:bookmarkEnd w:id="148"/>
    </w:p>
    <w:p w:rsidR="00744CBC" w:rsidRPr="0034148C" w:rsidRDefault="00744CBC" w:rsidP="00F309A6">
      <w:proofErr w:type="gramStart"/>
      <w:r w:rsidRPr="0034148C">
        <w:t>Two sources of quantitative data are used to measure whether the women’s businesses were effective in raising household income</w:t>
      </w:r>
      <w:r w:rsidR="00605CDC" w:rsidRPr="0034148C">
        <w:t xml:space="preserve"> for the grantees</w:t>
      </w:r>
      <w:r w:rsidRPr="0034148C">
        <w:t>: program monitoring data and the survey data mentioned earlier.</w:t>
      </w:r>
      <w:proofErr w:type="gramEnd"/>
      <w:r w:rsidR="00857A5B" w:rsidRPr="0034148C">
        <w:t xml:space="preserve"> The program monitoring data </w:t>
      </w:r>
      <w:proofErr w:type="gramStart"/>
      <w:r w:rsidR="00857A5B" w:rsidRPr="0034148C">
        <w:t>is examined</w:t>
      </w:r>
      <w:proofErr w:type="gramEnd"/>
      <w:r w:rsidR="00857A5B" w:rsidRPr="0034148C">
        <w:t xml:space="preserve"> first.</w:t>
      </w:r>
    </w:p>
    <w:p w:rsidR="00744CBC" w:rsidRPr="0034148C" w:rsidRDefault="00744CBC" w:rsidP="00F309A6">
      <w:r w:rsidRPr="0034148C">
        <w:t xml:space="preserve">Table 4.2.3 shows the average monthly </w:t>
      </w:r>
      <w:r w:rsidR="006377CE" w:rsidRPr="0034148C">
        <w:t xml:space="preserve">profit </w:t>
      </w:r>
      <w:r w:rsidRPr="0034148C">
        <w:t xml:space="preserve">generated from the businesses from the program monitoring data. </w:t>
      </w:r>
      <w:r w:rsidR="00CD1A8A" w:rsidRPr="0034148C">
        <w:t xml:space="preserve">This </w:t>
      </w:r>
      <w:proofErr w:type="gramStart"/>
      <w:r w:rsidR="00CD1A8A" w:rsidRPr="0034148C">
        <w:t>is calculated</w:t>
      </w:r>
      <w:proofErr w:type="gramEnd"/>
      <w:r w:rsidR="00CD1A8A" w:rsidRPr="0034148C">
        <w:t xml:space="preserve"> by dividing </w:t>
      </w:r>
      <w:r w:rsidRPr="0034148C">
        <w:t xml:space="preserve">the total net profit </w:t>
      </w:r>
      <w:r w:rsidR="0047073D" w:rsidRPr="0034148C">
        <w:t>by the total number of months</w:t>
      </w:r>
      <w:r w:rsidR="00E81C9D" w:rsidRPr="0034148C">
        <w:t xml:space="preserve"> since the grant was given</w:t>
      </w:r>
      <w:r w:rsidR="0047073D" w:rsidRPr="0034148C">
        <w:t>.</w:t>
      </w:r>
      <w:r w:rsidR="00E81C9D" w:rsidRPr="0034148C">
        <w:rPr>
          <w:rStyle w:val="FootnoteReference"/>
        </w:rPr>
        <w:footnoteReference w:id="3"/>
      </w:r>
      <w:r w:rsidR="0047073D" w:rsidRPr="0034148C">
        <w:t xml:space="preserve"> </w:t>
      </w:r>
      <w:r w:rsidR="00FC62FF" w:rsidRPr="0034148C">
        <w:t xml:space="preserve">For the businesses operated by two women as partners, profits </w:t>
      </w:r>
      <w:proofErr w:type="gramStart"/>
      <w:r w:rsidR="00FC62FF" w:rsidRPr="0034148C">
        <w:t>are divided</w:t>
      </w:r>
      <w:proofErr w:type="gramEnd"/>
      <w:r w:rsidR="00FC62FF" w:rsidRPr="0034148C">
        <w:t xml:space="preserve"> in half. </w:t>
      </w:r>
      <w:r w:rsidR="005637B8" w:rsidRPr="0034148C">
        <w:t>Only the 7</w:t>
      </w:r>
      <w:r w:rsidR="002A5044">
        <w:t xml:space="preserve">5 </w:t>
      </w:r>
      <w:r w:rsidR="005637B8" w:rsidRPr="0034148C">
        <w:t xml:space="preserve">businesses </w:t>
      </w:r>
      <w:r w:rsidR="006377CE" w:rsidRPr="0034148C">
        <w:t xml:space="preserve">that </w:t>
      </w:r>
      <w:r w:rsidR="00FC62FF" w:rsidRPr="0034148C">
        <w:t xml:space="preserve">were operational </w:t>
      </w:r>
      <w:r w:rsidR="00B735ED">
        <w:t xml:space="preserve">and had monitoring data </w:t>
      </w:r>
      <w:r w:rsidR="005637B8" w:rsidRPr="0034148C">
        <w:t>for at least one month are included in this table</w:t>
      </w:r>
      <w:r w:rsidR="00FC62FF" w:rsidRPr="0034148C">
        <w:t>.</w:t>
      </w:r>
    </w:p>
    <w:p w:rsidR="00FC62FF" w:rsidRPr="0034148C" w:rsidRDefault="00FC62FF" w:rsidP="00FC62FF">
      <w:pPr>
        <w:pStyle w:val="Heading4"/>
      </w:pPr>
      <w:bookmarkStart w:id="149" w:name="_Toc338572014"/>
      <w:bookmarkStart w:id="150" w:name="_Toc338717195"/>
      <w:bookmarkStart w:id="151" w:name="_Toc338750269"/>
      <w:bookmarkStart w:id="152" w:name="_Toc339368881"/>
      <w:r w:rsidRPr="0034148C">
        <w:t xml:space="preserve">Table 4.2.3 </w:t>
      </w:r>
      <w:r w:rsidR="003D03CD" w:rsidRPr="0034148C">
        <w:t>A</w:t>
      </w:r>
      <w:r w:rsidRPr="0034148C">
        <w:t xml:space="preserve">verage monthly </w:t>
      </w:r>
      <w:r w:rsidR="006377CE" w:rsidRPr="0034148C">
        <w:t xml:space="preserve">profits </w:t>
      </w:r>
      <w:r w:rsidRPr="0034148C">
        <w:t xml:space="preserve">earned by women entrepreneurs by type of enterprise (in </w:t>
      </w:r>
      <w:r w:rsidR="00BA5DC5" w:rsidRPr="0034148C">
        <w:t>USD</w:t>
      </w:r>
      <w:r w:rsidRPr="0034148C">
        <w:t>)</w:t>
      </w:r>
      <w:bookmarkEnd w:id="149"/>
      <w:bookmarkEnd w:id="150"/>
      <w:bookmarkEnd w:id="151"/>
      <w:bookmarkEnd w:id="152"/>
    </w:p>
    <w:tbl>
      <w:tblPr>
        <w:tblStyle w:val="TableGrid"/>
        <w:tblW w:w="5000" w:type="pct"/>
        <w:tblLook w:val="04A0"/>
      </w:tblPr>
      <w:tblGrid>
        <w:gridCol w:w="3422"/>
        <w:gridCol w:w="1230"/>
        <w:gridCol w:w="1230"/>
        <w:gridCol w:w="1230"/>
        <w:gridCol w:w="1233"/>
        <w:gridCol w:w="1231"/>
      </w:tblGrid>
      <w:tr w:rsidR="00CD1A8A" w:rsidRPr="0034148C" w:rsidTr="00CD1A8A">
        <w:trPr>
          <w:trHeight w:val="288"/>
        </w:trPr>
        <w:tc>
          <w:tcPr>
            <w:tcW w:w="1787" w:type="pct"/>
            <w:tcBorders>
              <w:left w:val="single" w:sz="18" w:space="0" w:color="auto"/>
              <w:right w:val="single" w:sz="18" w:space="0" w:color="auto"/>
            </w:tcBorders>
          </w:tcPr>
          <w:p w:rsidR="00CD1A8A" w:rsidRPr="0034148C" w:rsidRDefault="00CD1A8A" w:rsidP="00F94149">
            <w:pPr>
              <w:spacing w:after="0"/>
              <w:rPr>
                <w:rFonts w:asciiTheme="minorHAnsi" w:hAnsiTheme="minorHAnsi" w:cstheme="minorHAnsi"/>
                <w:b/>
                <w:bCs/>
                <w:sz w:val="20"/>
                <w:szCs w:val="20"/>
              </w:rPr>
            </w:pPr>
          </w:p>
        </w:tc>
        <w:tc>
          <w:tcPr>
            <w:tcW w:w="2570" w:type="pct"/>
            <w:gridSpan w:val="4"/>
            <w:tcBorders>
              <w:left w:val="single" w:sz="18" w:space="0" w:color="auto"/>
              <w:right w:val="single" w:sz="18" w:space="0" w:color="auto"/>
            </w:tcBorders>
          </w:tcPr>
          <w:p w:rsidR="00CD1A8A" w:rsidRPr="0034148C" w:rsidRDefault="00CD1A8A" w:rsidP="00F94149">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(1)</w:t>
            </w:r>
          </w:p>
        </w:tc>
        <w:tc>
          <w:tcPr>
            <w:tcW w:w="643" w:type="pct"/>
            <w:tcBorders>
              <w:left w:val="single" w:sz="18" w:space="0" w:color="auto"/>
              <w:right w:val="single" w:sz="18" w:space="0" w:color="auto"/>
            </w:tcBorders>
          </w:tcPr>
          <w:p w:rsidR="00CD1A8A" w:rsidRPr="0034148C" w:rsidRDefault="00CD1A8A" w:rsidP="00F94149">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(2)</w:t>
            </w:r>
          </w:p>
        </w:tc>
      </w:tr>
      <w:tr w:rsidR="00CD1A8A" w:rsidRPr="0034148C" w:rsidTr="00CD1A8A">
        <w:trPr>
          <w:trHeight w:val="288"/>
        </w:trPr>
        <w:tc>
          <w:tcPr>
            <w:tcW w:w="1787" w:type="pct"/>
            <w:tcBorders>
              <w:left w:val="single" w:sz="18" w:space="0" w:color="auto"/>
              <w:right w:val="single" w:sz="18" w:space="0" w:color="auto"/>
            </w:tcBorders>
          </w:tcPr>
          <w:p w:rsidR="00CD1A8A" w:rsidRPr="0034148C" w:rsidRDefault="00CD1A8A" w:rsidP="00F94149">
            <w:pPr>
              <w:spacing w:after="0"/>
              <w:rPr>
                <w:rFonts w:asciiTheme="minorHAnsi" w:hAnsiTheme="minorHAnsi" w:cstheme="minorHAnsi"/>
                <w:b/>
                <w:bCs/>
                <w:sz w:val="20"/>
                <w:szCs w:val="20"/>
              </w:rPr>
            </w:pPr>
          </w:p>
        </w:tc>
        <w:tc>
          <w:tcPr>
            <w:tcW w:w="2570" w:type="pct"/>
            <w:gridSpan w:val="4"/>
            <w:tcBorders>
              <w:left w:val="single" w:sz="18" w:space="0" w:color="auto"/>
              <w:right w:val="single" w:sz="18" w:space="0" w:color="auto"/>
            </w:tcBorders>
          </w:tcPr>
          <w:p w:rsidR="00CD1A8A" w:rsidRPr="0034148C" w:rsidRDefault="00CD1A8A" w:rsidP="00F94149">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Average monthly income</w:t>
            </w:r>
          </w:p>
        </w:tc>
        <w:tc>
          <w:tcPr>
            <w:tcW w:w="643" w:type="pct"/>
            <w:vMerge w:val="restart"/>
            <w:tcBorders>
              <w:left w:val="single" w:sz="18" w:space="0" w:color="auto"/>
              <w:right w:val="single" w:sz="18" w:space="0" w:color="auto"/>
            </w:tcBorders>
          </w:tcPr>
          <w:p w:rsidR="00CD1A8A" w:rsidRPr="0034148C" w:rsidRDefault="00CD1A8A" w:rsidP="00F94149">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 xml:space="preserve">Number of </w:t>
            </w:r>
            <w:r w:rsidR="00D1569F" w:rsidRPr="0034148C">
              <w:rPr>
                <w:rFonts w:asciiTheme="minorHAnsi" w:hAnsiTheme="minorHAnsi" w:cstheme="minorHAnsi"/>
                <w:b/>
                <w:bCs/>
                <w:sz w:val="20"/>
                <w:szCs w:val="20"/>
              </w:rPr>
              <w:t>enterpris</w:t>
            </w:r>
            <w:r w:rsidRPr="0034148C">
              <w:rPr>
                <w:rFonts w:asciiTheme="minorHAnsi" w:hAnsiTheme="minorHAnsi" w:cstheme="minorHAnsi"/>
                <w:b/>
                <w:bCs/>
                <w:sz w:val="20"/>
                <w:szCs w:val="20"/>
              </w:rPr>
              <w:t>es</w:t>
            </w:r>
          </w:p>
        </w:tc>
      </w:tr>
      <w:tr w:rsidR="00CD1A8A" w:rsidRPr="0034148C" w:rsidTr="00CD1A8A">
        <w:trPr>
          <w:trHeight w:val="288"/>
        </w:trPr>
        <w:tc>
          <w:tcPr>
            <w:tcW w:w="1787" w:type="pct"/>
            <w:tcBorders>
              <w:left w:val="single" w:sz="18" w:space="0" w:color="auto"/>
              <w:right w:val="single" w:sz="18" w:space="0" w:color="auto"/>
            </w:tcBorders>
          </w:tcPr>
          <w:p w:rsidR="00CD1A8A" w:rsidRPr="0034148C" w:rsidRDefault="00CD1A8A" w:rsidP="00F94149">
            <w:pPr>
              <w:spacing w:after="0"/>
              <w:rPr>
                <w:rFonts w:asciiTheme="minorHAnsi" w:hAnsiTheme="minorHAnsi" w:cstheme="minorHAnsi"/>
                <w:b/>
                <w:bCs/>
                <w:sz w:val="20"/>
                <w:szCs w:val="20"/>
              </w:rPr>
            </w:pPr>
            <w:r w:rsidRPr="0034148C">
              <w:rPr>
                <w:rFonts w:asciiTheme="minorHAnsi" w:hAnsiTheme="minorHAnsi" w:cstheme="minorHAnsi"/>
                <w:b/>
                <w:bCs/>
                <w:sz w:val="20"/>
                <w:szCs w:val="20"/>
              </w:rPr>
              <w:t>Type of enterprise</w:t>
            </w:r>
          </w:p>
        </w:tc>
        <w:tc>
          <w:tcPr>
            <w:tcW w:w="642" w:type="pct"/>
            <w:tcBorders>
              <w:left w:val="single" w:sz="18" w:space="0" w:color="auto"/>
            </w:tcBorders>
          </w:tcPr>
          <w:p w:rsidR="00CD1A8A" w:rsidRPr="0034148C" w:rsidRDefault="00CD1A8A" w:rsidP="00F94149">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1</w:t>
            </w:r>
          </w:p>
        </w:tc>
        <w:tc>
          <w:tcPr>
            <w:tcW w:w="642" w:type="pct"/>
          </w:tcPr>
          <w:p w:rsidR="00CD1A8A" w:rsidRPr="0034148C" w:rsidRDefault="00CD1A8A" w:rsidP="00F94149">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2</w:t>
            </w:r>
          </w:p>
        </w:tc>
        <w:tc>
          <w:tcPr>
            <w:tcW w:w="642" w:type="pct"/>
          </w:tcPr>
          <w:p w:rsidR="00CD1A8A" w:rsidRPr="0034148C" w:rsidRDefault="00CD1A8A" w:rsidP="00F94149">
            <w:pPr>
              <w:spacing w:after="0"/>
              <w:jc w:val="center"/>
              <w:rPr>
                <w:rFonts w:asciiTheme="minorHAnsi" w:hAnsiTheme="minorHAnsi" w:cstheme="minorHAnsi"/>
                <w:b/>
                <w:bCs/>
                <w:sz w:val="20"/>
                <w:szCs w:val="20"/>
              </w:rPr>
            </w:pPr>
            <w:proofErr w:type="spellStart"/>
            <w:r w:rsidRPr="0034148C">
              <w:rPr>
                <w:rFonts w:asciiTheme="minorHAnsi" w:hAnsiTheme="minorHAnsi" w:cstheme="minorHAnsi"/>
                <w:b/>
                <w:bCs/>
                <w:sz w:val="20"/>
                <w:szCs w:val="20"/>
              </w:rPr>
              <w:t>Rnd</w:t>
            </w:r>
            <w:proofErr w:type="spellEnd"/>
            <w:r w:rsidRPr="0034148C">
              <w:rPr>
                <w:rFonts w:asciiTheme="minorHAnsi" w:hAnsiTheme="minorHAnsi" w:cstheme="minorHAnsi"/>
                <w:b/>
                <w:bCs/>
                <w:sz w:val="20"/>
                <w:szCs w:val="20"/>
              </w:rPr>
              <w:t xml:space="preserve"> 3</w:t>
            </w:r>
          </w:p>
        </w:tc>
        <w:tc>
          <w:tcPr>
            <w:tcW w:w="644" w:type="pct"/>
            <w:tcBorders>
              <w:right w:val="single" w:sz="18" w:space="0" w:color="auto"/>
            </w:tcBorders>
          </w:tcPr>
          <w:p w:rsidR="00CD1A8A" w:rsidRPr="0034148C" w:rsidRDefault="00CD1A8A" w:rsidP="00F94149">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Total</w:t>
            </w:r>
          </w:p>
        </w:tc>
        <w:tc>
          <w:tcPr>
            <w:tcW w:w="643" w:type="pct"/>
            <w:vMerge/>
            <w:tcBorders>
              <w:left w:val="single" w:sz="18" w:space="0" w:color="auto"/>
              <w:right w:val="single" w:sz="18" w:space="0" w:color="auto"/>
            </w:tcBorders>
          </w:tcPr>
          <w:p w:rsidR="00CD1A8A" w:rsidRPr="0034148C" w:rsidRDefault="00CD1A8A" w:rsidP="00F94149">
            <w:pPr>
              <w:spacing w:after="0"/>
              <w:jc w:val="center"/>
              <w:rPr>
                <w:rFonts w:asciiTheme="minorHAnsi" w:hAnsiTheme="minorHAnsi" w:cstheme="minorHAnsi"/>
                <w:b/>
                <w:bCs/>
                <w:sz w:val="20"/>
                <w:szCs w:val="20"/>
              </w:rPr>
            </w:pPr>
          </w:p>
        </w:tc>
      </w:tr>
      <w:tr w:rsidR="008F2175" w:rsidRPr="0034148C" w:rsidTr="001C75A5">
        <w:trPr>
          <w:trHeight w:val="288"/>
        </w:trPr>
        <w:tc>
          <w:tcPr>
            <w:tcW w:w="1787" w:type="pct"/>
            <w:tcBorders>
              <w:left w:val="single" w:sz="18" w:space="0" w:color="auto"/>
              <w:right w:val="single" w:sz="18" w:space="0" w:color="auto"/>
            </w:tcBorders>
          </w:tcPr>
          <w:p w:rsidR="008F2175" w:rsidRPr="0034148C" w:rsidRDefault="008F2175" w:rsidP="00F94149">
            <w:pPr>
              <w:spacing w:after="0"/>
              <w:rPr>
                <w:rFonts w:asciiTheme="minorHAnsi" w:hAnsiTheme="minorHAnsi" w:cstheme="minorHAnsi"/>
                <w:sz w:val="20"/>
                <w:szCs w:val="20"/>
              </w:rPr>
            </w:pPr>
            <w:r w:rsidRPr="0034148C">
              <w:rPr>
                <w:rFonts w:asciiTheme="minorHAnsi" w:hAnsiTheme="minorHAnsi" w:cstheme="minorHAnsi"/>
                <w:sz w:val="20"/>
                <w:szCs w:val="20"/>
              </w:rPr>
              <w:t xml:space="preserve">Sales </w:t>
            </w:r>
          </w:p>
        </w:tc>
        <w:tc>
          <w:tcPr>
            <w:tcW w:w="642" w:type="pct"/>
            <w:tcBorders>
              <w:left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1</w:t>
            </w:r>
            <w:r w:rsidR="002A5044">
              <w:rPr>
                <w:rFonts w:asciiTheme="minorHAnsi" w:hAnsiTheme="minorHAnsi" w:cstheme="minorHAnsi"/>
                <w:sz w:val="20"/>
                <w:szCs w:val="20"/>
              </w:rPr>
              <w:t>06</w:t>
            </w:r>
          </w:p>
        </w:tc>
        <w:tc>
          <w:tcPr>
            <w:tcW w:w="642" w:type="pct"/>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1</w:t>
            </w:r>
            <w:r w:rsidR="002A5044">
              <w:rPr>
                <w:rFonts w:asciiTheme="minorHAnsi" w:hAnsiTheme="minorHAnsi" w:cstheme="minorHAnsi"/>
                <w:sz w:val="20"/>
                <w:szCs w:val="20"/>
              </w:rPr>
              <w:t>42</w:t>
            </w:r>
          </w:p>
        </w:tc>
        <w:tc>
          <w:tcPr>
            <w:tcW w:w="642" w:type="pct"/>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149</w:t>
            </w:r>
          </w:p>
        </w:tc>
        <w:tc>
          <w:tcPr>
            <w:tcW w:w="644" w:type="pct"/>
            <w:tcBorders>
              <w:right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1</w:t>
            </w:r>
            <w:r w:rsidR="002A5044">
              <w:rPr>
                <w:rFonts w:asciiTheme="minorHAnsi" w:hAnsiTheme="minorHAnsi" w:cstheme="minorHAnsi"/>
                <w:sz w:val="20"/>
                <w:szCs w:val="20"/>
              </w:rPr>
              <w:t>2</w:t>
            </w:r>
            <w:r w:rsidRPr="008F2175">
              <w:rPr>
                <w:rFonts w:asciiTheme="minorHAnsi" w:hAnsiTheme="minorHAnsi" w:cstheme="minorHAnsi"/>
                <w:sz w:val="20"/>
                <w:szCs w:val="20"/>
              </w:rPr>
              <w:t>8</w:t>
            </w:r>
          </w:p>
        </w:tc>
        <w:tc>
          <w:tcPr>
            <w:tcW w:w="643" w:type="pct"/>
            <w:tcBorders>
              <w:right w:val="single" w:sz="18" w:space="0" w:color="auto"/>
            </w:tcBorders>
            <w:vAlign w:val="center"/>
          </w:tcPr>
          <w:p w:rsidR="008F2175" w:rsidRPr="008F2175" w:rsidRDefault="008F2175" w:rsidP="002A5044">
            <w:pPr>
              <w:spacing w:after="0"/>
              <w:jc w:val="right"/>
              <w:rPr>
                <w:rFonts w:asciiTheme="minorHAnsi" w:hAnsiTheme="minorHAnsi" w:cstheme="minorHAnsi"/>
                <w:sz w:val="20"/>
                <w:szCs w:val="20"/>
              </w:rPr>
            </w:pPr>
            <w:r w:rsidRPr="008F2175">
              <w:rPr>
                <w:rFonts w:asciiTheme="minorHAnsi" w:hAnsiTheme="minorHAnsi" w:cstheme="minorHAnsi"/>
                <w:sz w:val="20"/>
                <w:szCs w:val="20"/>
              </w:rPr>
              <w:t>2</w:t>
            </w:r>
            <w:r w:rsidR="002A5044">
              <w:rPr>
                <w:rFonts w:asciiTheme="minorHAnsi" w:hAnsiTheme="minorHAnsi" w:cstheme="minorHAnsi"/>
                <w:sz w:val="20"/>
                <w:szCs w:val="20"/>
              </w:rPr>
              <w:t>3</w:t>
            </w:r>
          </w:p>
        </w:tc>
      </w:tr>
      <w:tr w:rsidR="008F2175" w:rsidRPr="0034148C" w:rsidTr="001C75A5">
        <w:trPr>
          <w:trHeight w:val="288"/>
        </w:trPr>
        <w:tc>
          <w:tcPr>
            <w:tcW w:w="1787" w:type="pct"/>
            <w:tcBorders>
              <w:left w:val="single" w:sz="18" w:space="0" w:color="auto"/>
              <w:right w:val="single" w:sz="18" w:space="0" w:color="auto"/>
            </w:tcBorders>
          </w:tcPr>
          <w:p w:rsidR="008F2175" w:rsidRPr="0034148C" w:rsidRDefault="008F2175" w:rsidP="00F94149">
            <w:pPr>
              <w:spacing w:after="0"/>
              <w:rPr>
                <w:rFonts w:asciiTheme="minorHAnsi" w:hAnsiTheme="minorHAnsi" w:cstheme="minorHAnsi"/>
                <w:sz w:val="20"/>
                <w:szCs w:val="20"/>
              </w:rPr>
            </w:pPr>
            <w:r w:rsidRPr="0034148C">
              <w:rPr>
                <w:rFonts w:asciiTheme="minorHAnsi" w:hAnsiTheme="minorHAnsi" w:cstheme="minorHAnsi"/>
                <w:sz w:val="20"/>
                <w:szCs w:val="20"/>
              </w:rPr>
              <w:t>Services</w:t>
            </w:r>
          </w:p>
        </w:tc>
        <w:tc>
          <w:tcPr>
            <w:tcW w:w="642" w:type="pct"/>
            <w:tcBorders>
              <w:left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60</w:t>
            </w:r>
          </w:p>
        </w:tc>
        <w:tc>
          <w:tcPr>
            <w:tcW w:w="642" w:type="pct"/>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70</w:t>
            </w:r>
          </w:p>
        </w:tc>
        <w:tc>
          <w:tcPr>
            <w:tcW w:w="642" w:type="pct"/>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37</w:t>
            </w:r>
          </w:p>
        </w:tc>
        <w:tc>
          <w:tcPr>
            <w:tcW w:w="644" w:type="pct"/>
            <w:tcBorders>
              <w:right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59</w:t>
            </w:r>
          </w:p>
        </w:tc>
        <w:tc>
          <w:tcPr>
            <w:tcW w:w="643" w:type="pct"/>
            <w:tcBorders>
              <w:right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34</w:t>
            </w:r>
          </w:p>
        </w:tc>
      </w:tr>
      <w:tr w:rsidR="008F2175" w:rsidRPr="0034148C" w:rsidTr="001C75A5">
        <w:trPr>
          <w:trHeight w:val="288"/>
        </w:trPr>
        <w:tc>
          <w:tcPr>
            <w:tcW w:w="1787" w:type="pct"/>
            <w:tcBorders>
              <w:left w:val="single" w:sz="18" w:space="0" w:color="auto"/>
              <w:right w:val="single" w:sz="18" w:space="0" w:color="auto"/>
            </w:tcBorders>
          </w:tcPr>
          <w:p w:rsidR="008F2175" w:rsidRPr="0034148C" w:rsidRDefault="008F2175" w:rsidP="00F94149">
            <w:pPr>
              <w:spacing w:after="0"/>
              <w:rPr>
                <w:rFonts w:asciiTheme="minorHAnsi" w:hAnsiTheme="minorHAnsi" w:cstheme="minorHAnsi"/>
                <w:sz w:val="20"/>
                <w:szCs w:val="20"/>
              </w:rPr>
            </w:pPr>
            <w:r w:rsidRPr="0034148C">
              <w:rPr>
                <w:rFonts w:asciiTheme="minorHAnsi" w:hAnsiTheme="minorHAnsi" w:cstheme="minorHAnsi"/>
                <w:sz w:val="20"/>
                <w:szCs w:val="20"/>
              </w:rPr>
              <w:t>Agricultural production</w:t>
            </w:r>
          </w:p>
        </w:tc>
        <w:tc>
          <w:tcPr>
            <w:tcW w:w="642" w:type="pct"/>
            <w:tcBorders>
              <w:left w:val="single" w:sz="18" w:space="0" w:color="auto"/>
            </w:tcBorders>
            <w:vAlign w:val="center"/>
          </w:tcPr>
          <w:p w:rsidR="008F2175" w:rsidRPr="008F2175" w:rsidRDefault="002A5044" w:rsidP="008F2175">
            <w:pPr>
              <w:spacing w:after="0"/>
              <w:jc w:val="right"/>
              <w:rPr>
                <w:rFonts w:asciiTheme="minorHAnsi" w:hAnsiTheme="minorHAnsi" w:cstheme="minorHAnsi"/>
                <w:sz w:val="20"/>
                <w:szCs w:val="20"/>
              </w:rPr>
            </w:pPr>
            <w:r>
              <w:rPr>
                <w:rFonts w:asciiTheme="minorHAnsi" w:hAnsiTheme="minorHAnsi" w:cstheme="minorHAnsi"/>
                <w:sz w:val="20"/>
                <w:szCs w:val="20"/>
              </w:rPr>
              <w:t>14</w:t>
            </w:r>
          </w:p>
        </w:tc>
        <w:tc>
          <w:tcPr>
            <w:tcW w:w="642" w:type="pct"/>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103</w:t>
            </w:r>
          </w:p>
        </w:tc>
        <w:tc>
          <w:tcPr>
            <w:tcW w:w="642" w:type="pct"/>
            <w:vAlign w:val="center"/>
          </w:tcPr>
          <w:p w:rsidR="008F2175" w:rsidRPr="008F2175" w:rsidRDefault="002A5044" w:rsidP="008F2175">
            <w:pPr>
              <w:spacing w:after="0"/>
              <w:jc w:val="right"/>
              <w:rPr>
                <w:rFonts w:asciiTheme="minorHAnsi" w:hAnsiTheme="minorHAnsi" w:cstheme="minorHAnsi"/>
                <w:sz w:val="20"/>
                <w:szCs w:val="20"/>
              </w:rPr>
            </w:pPr>
            <w:r>
              <w:rPr>
                <w:rFonts w:asciiTheme="minorHAnsi" w:hAnsiTheme="minorHAnsi" w:cstheme="minorHAnsi"/>
                <w:sz w:val="20"/>
                <w:szCs w:val="20"/>
              </w:rPr>
              <w:t>13</w:t>
            </w:r>
          </w:p>
        </w:tc>
        <w:tc>
          <w:tcPr>
            <w:tcW w:w="644" w:type="pct"/>
            <w:tcBorders>
              <w:right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6</w:t>
            </w:r>
            <w:r w:rsidR="002A5044">
              <w:rPr>
                <w:rFonts w:asciiTheme="minorHAnsi" w:hAnsiTheme="minorHAnsi" w:cstheme="minorHAnsi"/>
                <w:sz w:val="20"/>
                <w:szCs w:val="20"/>
              </w:rPr>
              <w:t>6</w:t>
            </w:r>
          </w:p>
        </w:tc>
        <w:tc>
          <w:tcPr>
            <w:tcW w:w="643" w:type="pct"/>
            <w:tcBorders>
              <w:right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1</w:t>
            </w:r>
            <w:r w:rsidR="002A5044">
              <w:rPr>
                <w:rFonts w:asciiTheme="minorHAnsi" w:hAnsiTheme="minorHAnsi" w:cstheme="minorHAnsi"/>
                <w:sz w:val="20"/>
                <w:szCs w:val="20"/>
              </w:rPr>
              <w:t>2</w:t>
            </w:r>
          </w:p>
        </w:tc>
      </w:tr>
      <w:tr w:rsidR="008F2175" w:rsidRPr="0034148C" w:rsidTr="001C75A5">
        <w:trPr>
          <w:trHeight w:val="288"/>
        </w:trPr>
        <w:tc>
          <w:tcPr>
            <w:tcW w:w="1787" w:type="pct"/>
            <w:tcBorders>
              <w:left w:val="single" w:sz="18" w:space="0" w:color="auto"/>
              <w:right w:val="single" w:sz="18" w:space="0" w:color="auto"/>
            </w:tcBorders>
          </w:tcPr>
          <w:p w:rsidR="008F2175" w:rsidRPr="0034148C" w:rsidRDefault="008F2175" w:rsidP="00F94149">
            <w:pPr>
              <w:spacing w:after="0"/>
              <w:rPr>
                <w:rFonts w:asciiTheme="minorHAnsi" w:hAnsiTheme="minorHAnsi" w:cstheme="minorHAnsi"/>
                <w:sz w:val="20"/>
                <w:szCs w:val="20"/>
              </w:rPr>
            </w:pPr>
            <w:r w:rsidRPr="0034148C">
              <w:rPr>
                <w:rFonts w:asciiTheme="minorHAnsi" w:hAnsiTheme="minorHAnsi" w:cstheme="minorHAnsi"/>
                <w:sz w:val="20"/>
                <w:szCs w:val="20"/>
              </w:rPr>
              <w:t>Other production</w:t>
            </w:r>
          </w:p>
        </w:tc>
        <w:tc>
          <w:tcPr>
            <w:tcW w:w="642" w:type="pct"/>
            <w:tcBorders>
              <w:left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24</w:t>
            </w:r>
          </w:p>
        </w:tc>
        <w:tc>
          <w:tcPr>
            <w:tcW w:w="642" w:type="pct"/>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622</w:t>
            </w:r>
          </w:p>
        </w:tc>
        <w:tc>
          <w:tcPr>
            <w:tcW w:w="642" w:type="pct"/>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222</w:t>
            </w:r>
          </w:p>
        </w:tc>
        <w:tc>
          <w:tcPr>
            <w:tcW w:w="644" w:type="pct"/>
            <w:tcBorders>
              <w:right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223</w:t>
            </w:r>
          </w:p>
        </w:tc>
        <w:tc>
          <w:tcPr>
            <w:tcW w:w="643" w:type="pct"/>
            <w:tcBorders>
              <w:right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6</w:t>
            </w:r>
          </w:p>
        </w:tc>
      </w:tr>
      <w:tr w:rsidR="008F2175" w:rsidRPr="0034148C" w:rsidTr="001C75A5">
        <w:trPr>
          <w:trHeight w:val="288"/>
        </w:trPr>
        <w:tc>
          <w:tcPr>
            <w:tcW w:w="1787" w:type="pct"/>
            <w:tcBorders>
              <w:left w:val="single" w:sz="18" w:space="0" w:color="auto"/>
              <w:bottom w:val="single" w:sz="18" w:space="0" w:color="auto"/>
              <w:right w:val="single" w:sz="18" w:space="0" w:color="auto"/>
            </w:tcBorders>
          </w:tcPr>
          <w:p w:rsidR="008F2175" w:rsidRPr="0034148C" w:rsidRDefault="008F2175" w:rsidP="00F94149">
            <w:pPr>
              <w:spacing w:after="0"/>
              <w:rPr>
                <w:rFonts w:asciiTheme="minorHAnsi" w:hAnsiTheme="minorHAnsi" w:cstheme="minorHAnsi"/>
                <w:b/>
                <w:bCs/>
                <w:sz w:val="20"/>
                <w:szCs w:val="20"/>
              </w:rPr>
            </w:pPr>
            <w:r w:rsidRPr="0034148C">
              <w:rPr>
                <w:rFonts w:asciiTheme="minorHAnsi" w:hAnsiTheme="minorHAnsi" w:cstheme="minorHAnsi"/>
                <w:b/>
                <w:bCs/>
                <w:sz w:val="20"/>
                <w:szCs w:val="20"/>
              </w:rPr>
              <w:t>Overall average/Total</w:t>
            </w:r>
          </w:p>
        </w:tc>
        <w:tc>
          <w:tcPr>
            <w:tcW w:w="642" w:type="pct"/>
            <w:tcBorders>
              <w:left w:val="single" w:sz="18" w:space="0" w:color="auto"/>
              <w:bottom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7</w:t>
            </w:r>
            <w:r w:rsidR="002A5044">
              <w:rPr>
                <w:rFonts w:asciiTheme="minorHAnsi" w:hAnsiTheme="minorHAnsi" w:cstheme="minorHAnsi"/>
                <w:sz w:val="20"/>
                <w:szCs w:val="20"/>
              </w:rPr>
              <w:t>3</w:t>
            </w:r>
          </w:p>
        </w:tc>
        <w:tc>
          <w:tcPr>
            <w:tcW w:w="642" w:type="pct"/>
            <w:tcBorders>
              <w:bottom w:val="single" w:sz="18" w:space="0" w:color="auto"/>
            </w:tcBorders>
            <w:vAlign w:val="center"/>
          </w:tcPr>
          <w:p w:rsidR="008F2175" w:rsidRPr="008F2175" w:rsidRDefault="008F2175" w:rsidP="008F2175">
            <w:pPr>
              <w:spacing w:after="0"/>
              <w:jc w:val="right"/>
              <w:rPr>
                <w:rFonts w:asciiTheme="minorHAnsi" w:hAnsiTheme="minorHAnsi" w:cstheme="minorHAnsi"/>
                <w:sz w:val="20"/>
                <w:szCs w:val="20"/>
              </w:rPr>
            </w:pPr>
            <w:r w:rsidRPr="008F2175">
              <w:rPr>
                <w:rFonts w:asciiTheme="minorHAnsi" w:hAnsiTheme="minorHAnsi" w:cstheme="minorHAnsi"/>
                <w:sz w:val="20"/>
                <w:szCs w:val="20"/>
              </w:rPr>
              <w:t>11</w:t>
            </w:r>
            <w:r w:rsidR="002A5044">
              <w:rPr>
                <w:rFonts w:asciiTheme="minorHAnsi" w:hAnsiTheme="minorHAnsi" w:cstheme="minorHAnsi"/>
                <w:sz w:val="20"/>
                <w:szCs w:val="20"/>
              </w:rPr>
              <w:t>3</w:t>
            </w:r>
          </w:p>
        </w:tc>
        <w:tc>
          <w:tcPr>
            <w:tcW w:w="642" w:type="pct"/>
            <w:tcBorders>
              <w:bottom w:val="single" w:sz="18" w:space="0" w:color="auto"/>
            </w:tcBorders>
            <w:vAlign w:val="center"/>
          </w:tcPr>
          <w:p w:rsidR="008F2175" w:rsidRPr="008F2175" w:rsidRDefault="002A5044" w:rsidP="008F2175">
            <w:pPr>
              <w:spacing w:after="0"/>
              <w:jc w:val="right"/>
              <w:rPr>
                <w:rFonts w:asciiTheme="minorHAnsi" w:hAnsiTheme="minorHAnsi" w:cstheme="minorHAnsi"/>
                <w:sz w:val="20"/>
                <w:szCs w:val="20"/>
              </w:rPr>
            </w:pPr>
            <w:r>
              <w:rPr>
                <w:rFonts w:asciiTheme="minorHAnsi" w:hAnsiTheme="minorHAnsi" w:cstheme="minorHAnsi"/>
                <w:sz w:val="20"/>
                <w:szCs w:val="20"/>
              </w:rPr>
              <w:t>92</w:t>
            </w:r>
          </w:p>
        </w:tc>
        <w:tc>
          <w:tcPr>
            <w:tcW w:w="644" w:type="pct"/>
            <w:tcBorders>
              <w:bottom w:val="single" w:sz="18" w:space="0" w:color="auto"/>
              <w:right w:val="single" w:sz="18" w:space="0" w:color="auto"/>
            </w:tcBorders>
            <w:vAlign w:val="center"/>
          </w:tcPr>
          <w:p w:rsidR="008F2175" w:rsidRPr="008F2175" w:rsidRDefault="002A5044" w:rsidP="008F2175">
            <w:pPr>
              <w:spacing w:after="0"/>
              <w:jc w:val="right"/>
              <w:rPr>
                <w:rFonts w:asciiTheme="minorHAnsi" w:hAnsiTheme="minorHAnsi" w:cstheme="minorHAnsi"/>
                <w:sz w:val="20"/>
                <w:szCs w:val="20"/>
              </w:rPr>
            </w:pPr>
            <w:r>
              <w:rPr>
                <w:rFonts w:asciiTheme="minorHAnsi" w:hAnsiTheme="minorHAnsi" w:cstheme="minorHAnsi"/>
                <w:sz w:val="20"/>
                <w:szCs w:val="20"/>
              </w:rPr>
              <w:t>94</w:t>
            </w:r>
          </w:p>
        </w:tc>
        <w:tc>
          <w:tcPr>
            <w:tcW w:w="643" w:type="pct"/>
            <w:tcBorders>
              <w:bottom w:val="single" w:sz="18" w:space="0" w:color="auto"/>
              <w:right w:val="single" w:sz="18" w:space="0" w:color="auto"/>
            </w:tcBorders>
            <w:vAlign w:val="center"/>
          </w:tcPr>
          <w:p w:rsidR="008F2175" w:rsidRPr="008F2175" w:rsidRDefault="008F2175" w:rsidP="008F2175">
            <w:pPr>
              <w:spacing w:after="0"/>
              <w:jc w:val="right"/>
              <w:rPr>
                <w:rFonts w:asciiTheme="minorHAnsi" w:hAnsiTheme="minorHAnsi" w:cstheme="minorHAnsi"/>
                <w:b/>
                <w:bCs/>
                <w:sz w:val="20"/>
                <w:szCs w:val="20"/>
              </w:rPr>
            </w:pPr>
            <w:r w:rsidRPr="008F2175">
              <w:rPr>
                <w:rFonts w:asciiTheme="minorHAnsi" w:hAnsiTheme="minorHAnsi" w:cstheme="minorHAnsi"/>
                <w:b/>
                <w:bCs/>
                <w:sz w:val="20"/>
                <w:szCs w:val="20"/>
              </w:rPr>
              <w:t>7</w:t>
            </w:r>
            <w:r w:rsidR="002A5044">
              <w:rPr>
                <w:rFonts w:asciiTheme="minorHAnsi" w:hAnsiTheme="minorHAnsi" w:cstheme="minorHAnsi"/>
                <w:b/>
                <w:bCs/>
                <w:sz w:val="20"/>
                <w:szCs w:val="20"/>
              </w:rPr>
              <w:t>5</w:t>
            </w:r>
          </w:p>
        </w:tc>
      </w:tr>
    </w:tbl>
    <w:p w:rsidR="00F94149" w:rsidRPr="0034148C" w:rsidRDefault="003D03CD" w:rsidP="003D03CD">
      <w:pPr>
        <w:pStyle w:val="Figurenote"/>
      </w:pPr>
      <w:proofErr w:type="gramStart"/>
      <w:r w:rsidRPr="0034148C">
        <w:t>Source: Project monitoring database.</w:t>
      </w:r>
      <w:proofErr w:type="gramEnd"/>
    </w:p>
    <w:p w:rsidR="003D03CD" w:rsidRPr="0034148C" w:rsidRDefault="003D03CD" w:rsidP="003D03CD">
      <w:pPr>
        <w:pStyle w:val="Figurenote"/>
      </w:pPr>
    </w:p>
    <w:p w:rsidR="00576483" w:rsidRPr="0034148C" w:rsidRDefault="00576483" w:rsidP="00F309A6">
      <w:r w:rsidRPr="0034148C">
        <w:t xml:space="preserve">The overall average monthly </w:t>
      </w:r>
      <w:r w:rsidR="006377CE" w:rsidRPr="0034148C">
        <w:t>profit of $</w:t>
      </w:r>
      <w:r w:rsidR="008F2175">
        <w:t>9</w:t>
      </w:r>
      <w:r w:rsidR="002A5044">
        <w:t>4</w:t>
      </w:r>
      <w:r w:rsidR="006377CE" w:rsidRPr="0034148C">
        <w:t xml:space="preserve"> </w:t>
      </w:r>
      <w:r w:rsidRPr="0034148C">
        <w:t xml:space="preserve">is equivalent to about GEL </w:t>
      </w:r>
      <w:r w:rsidR="008F2175">
        <w:t>15</w:t>
      </w:r>
      <w:r w:rsidR="002A5044">
        <w:t>6</w:t>
      </w:r>
      <w:r w:rsidRPr="0034148C">
        <w:t xml:space="preserve"> at current exchange rates. This is well above the average household income among IDPs of GEL 73 that </w:t>
      </w:r>
      <w:proofErr w:type="gramStart"/>
      <w:r w:rsidRPr="0034148C">
        <w:t>was reported</w:t>
      </w:r>
      <w:proofErr w:type="gramEnd"/>
      <w:r w:rsidRPr="0034148C">
        <w:t xml:space="preserve"> in the SIIMS Baseline Survey</w:t>
      </w:r>
      <w:r w:rsidR="00135D27" w:rsidRPr="0034148C">
        <w:t xml:space="preserve"> (GeoWel Research &amp; Caucasus Research Resource Center, 2009)</w:t>
      </w:r>
      <w:r w:rsidRPr="0034148C">
        <w:t>.</w:t>
      </w:r>
      <w:r w:rsidR="006377CE" w:rsidRPr="0034148C">
        <w:t xml:space="preserve"> It should be remembered that 3</w:t>
      </w:r>
      <w:r w:rsidR="001D0D18" w:rsidRPr="0034148C">
        <w:t>4</w:t>
      </w:r>
      <w:r w:rsidR="006377CE" w:rsidRPr="0034148C">
        <w:t xml:space="preserve"> of the 7</w:t>
      </w:r>
      <w:r w:rsidR="0044725C">
        <w:t>5</w:t>
      </w:r>
      <w:r w:rsidR="001D0D18" w:rsidRPr="0034148C">
        <w:t xml:space="preserve"> businesses also employed</w:t>
      </w:r>
      <w:r w:rsidR="009E5A55" w:rsidRPr="0034148C">
        <w:t xml:space="preserve"> people, for </w:t>
      </w:r>
      <w:proofErr w:type="gramStart"/>
      <w:r w:rsidR="009E5A55" w:rsidRPr="0034148C">
        <w:t>a total of 47</w:t>
      </w:r>
      <w:proofErr w:type="gramEnd"/>
      <w:r w:rsidR="009E5A55" w:rsidRPr="0034148C">
        <w:t xml:space="preserve"> employees overall. For these businesses, profits </w:t>
      </w:r>
      <w:proofErr w:type="gramStart"/>
      <w:r w:rsidR="009E5A55" w:rsidRPr="0034148C">
        <w:t>were also used</w:t>
      </w:r>
      <w:proofErr w:type="gramEnd"/>
      <w:r w:rsidR="009E5A55" w:rsidRPr="0034148C">
        <w:t xml:space="preserve"> to pay employees, while for the other businesses it can be assumed that profits were used by the grantees to support their households and to re-invest in the business.</w:t>
      </w:r>
    </w:p>
    <w:p w:rsidR="009E5A55" w:rsidRPr="0034148C" w:rsidRDefault="002C5EA0" w:rsidP="00F309A6">
      <w:r w:rsidRPr="0034148C">
        <w:t xml:space="preserve">The household survey of women entrepreneurs collected information on </w:t>
      </w:r>
      <w:r w:rsidR="009D4D79" w:rsidRPr="0034148C">
        <w:t>average monthly income by source both before and after starting the business enterprise</w:t>
      </w:r>
      <w:r w:rsidRPr="0034148C">
        <w:t>.</w:t>
      </w:r>
      <w:r w:rsidR="008B36F3" w:rsidRPr="0034148C">
        <w:t xml:space="preserve"> As seen in Figure 4.2.1, incomes increased substantially after joining the women entrepreneurs program, and the </w:t>
      </w:r>
      <w:r w:rsidR="008B36F3" w:rsidRPr="0034148C">
        <w:lastRenderedPageBreak/>
        <w:t>increase was almost entirely due to the business enterprise.</w:t>
      </w:r>
      <w:r w:rsidR="001C75A5" w:rsidRPr="0034148C">
        <w:t xml:space="preserve"> The average monthly income generated by the business </w:t>
      </w:r>
      <w:r w:rsidR="00A840B3" w:rsidRPr="0034148C">
        <w:t xml:space="preserve">as </w:t>
      </w:r>
      <w:r w:rsidR="001C75A5" w:rsidRPr="0034148C">
        <w:t xml:space="preserve">reported in the survey was </w:t>
      </w:r>
      <w:r w:rsidR="00A840B3" w:rsidRPr="0034148C">
        <w:t>GEL 196</w:t>
      </w:r>
      <w:r w:rsidR="00DA7C2B">
        <w:t xml:space="preserve"> (USD $118)</w:t>
      </w:r>
      <w:r w:rsidR="00A840B3" w:rsidRPr="0034148C">
        <w:t xml:space="preserve">. </w:t>
      </w:r>
    </w:p>
    <w:p w:rsidR="00296D85" w:rsidRPr="0034148C" w:rsidRDefault="00296D85" w:rsidP="00F309A6">
      <w:r w:rsidRPr="0034148C">
        <w:t xml:space="preserve">In the focus group discussion, some of the women entrepreneurs said that they were unemployed before starting their own business, receiving only social and humanitarian aid as displaced persons (state social aid is 25 GEL </w:t>
      </w:r>
      <w:r w:rsidR="00497F80">
        <w:t xml:space="preserve">(USD $15 </w:t>
      </w:r>
      <w:r w:rsidRPr="0034148C">
        <w:t xml:space="preserve">per month). They also had small plots of lands that they were farming, but had no personal income. </w:t>
      </w:r>
      <w:proofErr w:type="gramStart"/>
      <w:r w:rsidRPr="0034148C">
        <w:t>But</w:t>
      </w:r>
      <w:proofErr w:type="gramEnd"/>
      <w:r w:rsidRPr="0034148C">
        <w:t xml:space="preserve"> others said that they had employment and income before starting the business, such as sewing, hairdressing and working in the municipality. A few said that they had their own businesses before receiving the CARE grant, </w:t>
      </w:r>
      <w:r w:rsidR="009E5A55" w:rsidRPr="0034148C">
        <w:t xml:space="preserve">and they used the grant </w:t>
      </w:r>
      <w:r w:rsidRPr="0034148C">
        <w:t>to expand them</w:t>
      </w:r>
      <w:r w:rsidR="009E5A55" w:rsidRPr="0034148C">
        <w:t>. O</w:t>
      </w:r>
      <w:r w:rsidRPr="0034148C">
        <w:t xml:space="preserve">thers started </w:t>
      </w:r>
      <w:r w:rsidR="009E5A55" w:rsidRPr="0034148C">
        <w:t xml:space="preserve">the business </w:t>
      </w:r>
      <w:r w:rsidRPr="0034148C">
        <w:t xml:space="preserve">from zero, though some had previous experience doing the same kind of work before displacement – for example, </w:t>
      </w:r>
      <w:proofErr w:type="gramStart"/>
      <w:r w:rsidRPr="0034148C">
        <w:t>shoe-making</w:t>
      </w:r>
      <w:proofErr w:type="gramEnd"/>
      <w:r w:rsidRPr="0034148C">
        <w:t xml:space="preserve"> or haircutting.</w:t>
      </w:r>
      <w:r w:rsidR="00F94149" w:rsidRPr="0034148C">
        <w:t xml:space="preserve"> </w:t>
      </w:r>
      <w:r w:rsidR="00CE71AA" w:rsidRPr="0034148C">
        <w:t xml:space="preserve">Women in the non-grantee FGDs </w:t>
      </w:r>
      <w:r w:rsidR="009E5A55" w:rsidRPr="0034148C">
        <w:t xml:space="preserve">said that they </w:t>
      </w:r>
      <w:r w:rsidR="007C6A7C">
        <w:t xml:space="preserve">currently </w:t>
      </w:r>
      <w:r w:rsidR="00CE71AA" w:rsidRPr="0034148C">
        <w:t>mainly lived on state aid and agricultural income from small plots</w:t>
      </w:r>
      <w:r w:rsidR="009E5A55" w:rsidRPr="0034148C">
        <w:t>, just as the grantees did before starting their business</w:t>
      </w:r>
      <w:r w:rsidR="00CE71AA" w:rsidRPr="0034148C">
        <w:t>.</w:t>
      </w:r>
    </w:p>
    <w:p w:rsidR="00A840B3" w:rsidRDefault="00A840B3" w:rsidP="00F309A6">
      <w:r w:rsidRPr="0034148C">
        <w:t>The survey also asked about household expenses before and after starting the business</w:t>
      </w:r>
      <w:r w:rsidR="00A23F9E" w:rsidRPr="0034148C">
        <w:t>, a</w:t>
      </w:r>
      <w:r w:rsidRPr="0034148C">
        <w:t>s seen in Figure 4.2.2</w:t>
      </w:r>
      <w:r w:rsidR="00A23F9E" w:rsidRPr="0034148C">
        <w:t xml:space="preserve">. Overall respondents reported that their expenses increased by about 80%, from </w:t>
      </w:r>
      <w:r w:rsidR="00497F80">
        <w:t xml:space="preserve">USD $221 to $389 </w:t>
      </w:r>
      <w:r w:rsidR="00A23F9E" w:rsidRPr="0034148C">
        <w:t xml:space="preserve">on average. For the most part, households increased their expenses on basic needs such as </w:t>
      </w:r>
      <w:r w:rsidR="001950AF" w:rsidRPr="0034148C">
        <w:t xml:space="preserve">food, clothing, medicine and heat. This implies that </w:t>
      </w:r>
      <w:r w:rsidR="006849FD" w:rsidRPr="0034148C">
        <w:t>the IDP household incomes were not sufficient to cover these basic needs before launching the business enterprises.</w:t>
      </w:r>
      <w:r w:rsidR="00296D85" w:rsidRPr="0034148C">
        <w:t xml:space="preserve"> </w:t>
      </w:r>
      <w:proofErr w:type="gramStart"/>
      <w:r w:rsidR="00296D85" w:rsidRPr="0034148C">
        <w:t>These same facts</w:t>
      </w:r>
      <w:r w:rsidR="00955B30" w:rsidRPr="0034148C">
        <w:t xml:space="preserve"> were echoed by the FGD participants</w:t>
      </w:r>
      <w:proofErr w:type="gramEnd"/>
      <w:r w:rsidR="00955B30" w:rsidRPr="0034148C">
        <w:t>.</w:t>
      </w:r>
    </w:p>
    <w:p w:rsidR="000E2D55" w:rsidRPr="0034148C" w:rsidRDefault="000E2D55" w:rsidP="000E2D55">
      <w:pPr>
        <w:pStyle w:val="Heading3"/>
      </w:pPr>
      <w:bookmarkStart w:id="153" w:name="_Toc338572127"/>
      <w:bookmarkStart w:id="154" w:name="_Toc338717139"/>
      <w:bookmarkStart w:id="155" w:name="_Toc338750170"/>
      <w:bookmarkStart w:id="156" w:name="_Toc339368763"/>
      <w:r w:rsidRPr="0034148C">
        <w:t xml:space="preserve">4.2.3 Effectiveness of the program in </w:t>
      </w:r>
      <w:r>
        <w:t xml:space="preserve">skills building, </w:t>
      </w:r>
      <w:r w:rsidRPr="0034148C">
        <w:t>empowering women</w:t>
      </w:r>
      <w:bookmarkEnd w:id="153"/>
      <w:bookmarkEnd w:id="154"/>
      <w:r>
        <w:t xml:space="preserve"> and modeling entrepreneurship</w:t>
      </w:r>
      <w:bookmarkEnd w:id="155"/>
      <w:bookmarkEnd w:id="156"/>
      <w:r>
        <w:t xml:space="preserve"> </w:t>
      </w:r>
    </w:p>
    <w:p w:rsidR="000E2D55" w:rsidRPr="0034148C" w:rsidRDefault="000E2D55" w:rsidP="000E2D55">
      <w:r w:rsidRPr="0034148C">
        <w:t xml:space="preserve">Both qualitative and quantitative data </w:t>
      </w:r>
      <w:proofErr w:type="gramStart"/>
      <w:r w:rsidRPr="0034148C">
        <w:t>is used</w:t>
      </w:r>
      <w:proofErr w:type="gramEnd"/>
      <w:r w:rsidRPr="0034148C">
        <w:t xml:space="preserve"> to examine the effectiveness of the program in meeting program objectives for building women’s capacity for starting and managing a business, and for empowering women in their families and the wider community.</w:t>
      </w:r>
    </w:p>
    <w:p w:rsidR="000E2D55" w:rsidRPr="0034148C" w:rsidRDefault="000E2D55" w:rsidP="000E2D55">
      <w:r w:rsidRPr="0034148C">
        <w:t xml:space="preserve">FGD participants from the grantees group seemed content with the trainings done by CARE.  They reported that the trainings covered “everything about business”: writing a business plan, managing the business, keeping account books etc., and </w:t>
      </w:r>
      <w:proofErr w:type="gramStart"/>
      <w:r w:rsidRPr="0034148C">
        <w:t>were carried out</w:t>
      </w:r>
      <w:proofErr w:type="gramEnd"/>
      <w:r w:rsidRPr="0034148C">
        <w:t xml:space="preserve"> well. Some of them also said that </w:t>
      </w:r>
      <w:proofErr w:type="gramStart"/>
      <w:r w:rsidRPr="0034148C">
        <w:t>as a result</w:t>
      </w:r>
      <w:proofErr w:type="gramEnd"/>
      <w:r w:rsidRPr="0034148C">
        <w:t xml:space="preserve"> of the trainings and of having to write the business plan they became used to writing down everything they do, and this now helps them a lot in their business. Survey respondents </w:t>
      </w:r>
      <w:proofErr w:type="gramStart"/>
      <w:r w:rsidRPr="0034148C">
        <w:t>were asked</w:t>
      </w:r>
      <w:proofErr w:type="gramEnd"/>
      <w:r w:rsidRPr="0034148C">
        <w:t xml:space="preserve"> whether they keep account books for their business and all but one (98%) said that they were using the CARE account books. FGD participants said that the trainings had also other importance for them such as giving them opportunities for sharing experience and for teamwork. They said that there was nothing in the training modules, which turned out to be less important or less useful. The profitability of the businesses and the availability of data on income and expenses also provide evidence of the effectiveness of the trainings.</w:t>
      </w:r>
    </w:p>
    <w:p w:rsidR="000E2D55" w:rsidRPr="0034148C" w:rsidRDefault="000E2D55" w:rsidP="00F309A6"/>
    <w:p w:rsidR="008231EB" w:rsidRDefault="008231EB">
      <w:pPr>
        <w:spacing w:after="200"/>
        <w:jc w:val="left"/>
        <w:rPr>
          <w:rFonts w:eastAsiaTheme="majorEastAsia" w:cstheme="minorHAnsi"/>
          <w:b/>
          <w:bCs/>
          <w:noProof/>
          <w:szCs w:val="20"/>
          <w:lang w:bidi="th-TH"/>
        </w:rPr>
      </w:pPr>
      <w:bookmarkStart w:id="157" w:name="_Toc338572015"/>
      <w:bookmarkStart w:id="158" w:name="_Toc338717196"/>
      <w:bookmarkStart w:id="159" w:name="_Toc338750244"/>
      <w:r>
        <w:rPr>
          <w:noProof/>
          <w:lang w:bidi="th-TH"/>
        </w:rPr>
        <w:br w:type="page"/>
      </w:r>
    </w:p>
    <w:p w:rsidR="001950AF" w:rsidRPr="0034148C" w:rsidRDefault="008231EB" w:rsidP="00665C15">
      <w:pPr>
        <w:pStyle w:val="Heading5"/>
      </w:pPr>
      <w:r>
        <w:rPr>
          <w:noProof/>
          <w:lang w:bidi="th-TH"/>
        </w:rPr>
        <w:lastRenderedPageBreak/>
        <w:drawing>
          <wp:anchor distT="0" distB="0" distL="114300" distR="114300" simplePos="0" relativeHeight="251694080" behindDoc="0" locked="0" layoutInCell="1" allowOverlap="0">
            <wp:simplePos x="0" y="0"/>
            <wp:positionH relativeFrom="margin">
              <wp:posOffset>811530</wp:posOffset>
            </wp:positionH>
            <wp:positionV relativeFrom="paragraph">
              <wp:posOffset>640080</wp:posOffset>
            </wp:positionV>
            <wp:extent cx="4617085" cy="3017520"/>
            <wp:effectExtent l="19050" t="0" r="12065" b="0"/>
            <wp:wrapTopAndBottom/>
            <wp:docPr id="13"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bookmarkStart w:id="160" w:name="_Toc339368813"/>
      <w:r w:rsidR="008B36F3" w:rsidRPr="0034148C">
        <w:t xml:space="preserve">Figure 4.2.1: Mean total monthly income by source of income before and after receiving women entrepreneur grant (in </w:t>
      </w:r>
      <w:r>
        <w:t>USD</w:t>
      </w:r>
      <w:r w:rsidR="008B36F3" w:rsidRPr="0034148C">
        <w:t>)</w:t>
      </w:r>
      <w:bookmarkEnd w:id="157"/>
      <w:r w:rsidR="008B36F3" w:rsidRPr="0034148C">
        <w:t xml:space="preserve"> </w:t>
      </w:r>
      <w:r w:rsidR="003D03CD" w:rsidRPr="0034148C">
        <w:t>(N=49)</w:t>
      </w:r>
      <w:bookmarkEnd w:id="158"/>
      <w:bookmarkEnd w:id="159"/>
      <w:bookmarkEnd w:id="160"/>
    </w:p>
    <w:p w:rsidR="008231EB" w:rsidRDefault="008231EB" w:rsidP="003D03CD">
      <w:pPr>
        <w:pStyle w:val="Figurenote"/>
      </w:pPr>
      <w:r w:rsidRPr="008231EB">
        <w:t xml:space="preserve"> </w:t>
      </w:r>
      <w:r w:rsidR="006774AA">
        <w:rPr>
          <w:noProof/>
          <w:lang w:bidi="th-TH"/>
        </w:rPr>
        <w:drawing>
          <wp:anchor distT="0" distB="0" distL="114300" distR="114300" simplePos="0" relativeHeight="251692032" behindDoc="0" locked="1" layoutInCell="1" allowOverlap="0">
            <wp:simplePos x="0" y="0"/>
            <wp:positionH relativeFrom="margin">
              <wp:align>center</wp:align>
            </wp:positionH>
            <wp:positionV relativeFrom="paragraph">
              <wp:posOffset>4191635</wp:posOffset>
            </wp:positionV>
            <wp:extent cx="4617085" cy="3017520"/>
            <wp:effectExtent l="19050" t="0" r="12065" b="0"/>
            <wp:wrapTopAndBottom/>
            <wp:docPr id="7"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3D03CD" w:rsidRPr="0034148C">
        <w:tab/>
      </w:r>
    </w:p>
    <w:p w:rsidR="001950AF" w:rsidRPr="0034148C" w:rsidRDefault="008231EB" w:rsidP="003D03CD">
      <w:pPr>
        <w:pStyle w:val="Figurenote"/>
      </w:pPr>
      <w:r>
        <w:tab/>
      </w:r>
      <w:r>
        <w:tab/>
      </w:r>
      <w:r w:rsidR="003D03CD" w:rsidRPr="0034148C">
        <w:t>Source: Women entrepreneur survey</w:t>
      </w:r>
    </w:p>
    <w:p w:rsidR="003D03CD" w:rsidRPr="0034148C" w:rsidRDefault="00A840B3" w:rsidP="00665C15">
      <w:pPr>
        <w:pStyle w:val="Heading5"/>
      </w:pPr>
      <w:bookmarkStart w:id="161" w:name="_Toc338572016"/>
      <w:bookmarkStart w:id="162" w:name="_Toc338717197"/>
      <w:bookmarkStart w:id="163" w:name="_Toc338750245"/>
      <w:bookmarkStart w:id="164" w:name="_Toc339368814"/>
      <w:r w:rsidRPr="0034148C">
        <w:t>Figure 4.2.</w:t>
      </w:r>
      <w:r w:rsidR="00D320FA" w:rsidRPr="0034148C">
        <w:t xml:space="preserve">2 </w:t>
      </w:r>
      <w:r w:rsidRPr="0034148C">
        <w:t xml:space="preserve">Mean total expenses per month before and after </w:t>
      </w:r>
      <w:r w:rsidR="008C3478" w:rsidRPr="0034148C">
        <w:t xml:space="preserve">receiving women entrepreneur grant (in </w:t>
      </w:r>
      <w:r w:rsidR="006774AA">
        <w:t>USD</w:t>
      </w:r>
      <w:r w:rsidR="008C3478" w:rsidRPr="0034148C">
        <w:t>)</w:t>
      </w:r>
      <w:bookmarkEnd w:id="161"/>
      <w:r w:rsidRPr="0034148C">
        <w:t xml:space="preserve"> </w:t>
      </w:r>
      <w:r w:rsidR="003D03CD" w:rsidRPr="0034148C">
        <w:t>(N=49)</w:t>
      </w:r>
      <w:bookmarkEnd w:id="162"/>
      <w:bookmarkEnd w:id="163"/>
      <w:bookmarkEnd w:id="164"/>
    </w:p>
    <w:p w:rsidR="006774AA" w:rsidRDefault="003D03CD" w:rsidP="003D03CD">
      <w:pPr>
        <w:pStyle w:val="Figurenote"/>
      </w:pPr>
      <w:r w:rsidRPr="0034148C">
        <w:tab/>
      </w:r>
    </w:p>
    <w:p w:rsidR="008B36F3" w:rsidRPr="0034148C" w:rsidRDefault="008231EB" w:rsidP="003D03CD">
      <w:pPr>
        <w:pStyle w:val="Figurenote"/>
        <w:rPr>
          <w:rFonts w:asciiTheme="majorHAnsi" w:hAnsiTheme="majorHAnsi" w:cstheme="majorBidi"/>
          <w:b/>
          <w:bCs w:val="0"/>
          <w:color w:val="FE8637" w:themeColor="accent1"/>
        </w:rPr>
      </w:pPr>
      <w:r>
        <w:tab/>
      </w:r>
      <w:r>
        <w:tab/>
      </w:r>
      <w:proofErr w:type="gramStart"/>
      <w:r w:rsidR="003D03CD" w:rsidRPr="0034148C">
        <w:t>Source: Women entrepreneur survey.</w:t>
      </w:r>
      <w:proofErr w:type="gramEnd"/>
      <w:r w:rsidR="008B36F3" w:rsidRPr="0034148C">
        <w:br w:type="page"/>
      </w:r>
    </w:p>
    <w:p w:rsidR="00540EA8" w:rsidRPr="0034148C" w:rsidRDefault="00540EA8" w:rsidP="00540EA8">
      <w:r w:rsidRPr="0034148C">
        <w:lastRenderedPageBreak/>
        <w:t xml:space="preserve">The FGD participants who did not receive grants said that the trainings gave them a general impression about business administration and they learned to write business plans. </w:t>
      </w:r>
      <w:proofErr w:type="gramStart"/>
      <w:r w:rsidRPr="0034148C">
        <w:t>But</w:t>
      </w:r>
      <w:proofErr w:type="gramEnd"/>
      <w:r w:rsidRPr="0034148C">
        <w:t xml:space="preserve"> they said that the trainings were not useful to them because they could not get financing and had no opportunities to use the knowledge afterwards. </w:t>
      </w:r>
    </w:p>
    <w:p w:rsidR="00540EA8" w:rsidRPr="0034148C" w:rsidRDefault="00540EA8" w:rsidP="00540EA8">
      <w:pPr>
        <w:pStyle w:val="Quote"/>
      </w:pPr>
      <w:r w:rsidRPr="0034148C">
        <w:t xml:space="preserve">They had not taught </w:t>
      </w:r>
      <w:proofErr w:type="gramStart"/>
      <w:r w:rsidRPr="0034148C">
        <w:t>me anything special or anything I did not really know</w:t>
      </w:r>
      <w:proofErr w:type="gramEnd"/>
      <w:r w:rsidRPr="0034148C">
        <w:t>. I have 30 years experience of working in a shop. Anyway, I have taken my mistakes</w:t>
      </w:r>
      <w:r w:rsidR="007C6A7C">
        <w:t xml:space="preserve"> [on the grant proposal]</w:t>
      </w:r>
      <w:r w:rsidRPr="0034148C">
        <w:t xml:space="preserve"> into consideration for the future. </w:t>
      </w:r>
      <w:proofErr w:type="gramStart"/>
      <w:r w:rsidRPr="0034148C">
        <w:t>But</w:t>
      </w:r>
      <w:proofErr w:type="gramEnd"/>
      <w:r w:rsidRPr="0034148C">
        <w:t xml:space="preserve"> I would learn more if they just gave me a small amount of financing. (IDP, non-grantee FGD) </w:t>
      </w:r>
    </w:p>
    <w:p w:rsidR="002269A7" w:rsidRPr="0034148C" w:rsidRDefault="00540EA8" w:rsidP="00540EA8">
      <w:r w:rsidRPr="0034148C">
        <w:t xml:space="preserve">Some of the women in the non-grantees group however did manage to bring their business ideas to life; the above speaker expanded her shop anyway, having borrowed money from a relative. </w:t>
      </w:r>
    </w:p>
    <w:p w:rsidR="003F1BA5" w:rsidRPr="0034148C" w:rsidRDefault="002269A7" w:rsidP="002269A7">
      <w:r w:rsidRPr="0034148C">
        <w:t xml:space="preserve">The grantees’ FGD raised the issue of whether running a business changed their position in the family or the community. The group discussion provided mixed evidence on this issue. </w:t>
      </w:r>
      <w:r w:rsidR="003F1BA5" w:rsidRPr="0034148C">
        <w:t xml:space="preserve">According to the participants, the fact they started businesses did not create any family problems for them, though the time they have left for spending with family members is less now. While the main change that the businesses brought to the women’s families is increased income, they also said there is better mood at their homes now. </w:t>
      </w:r>
      <w:r w:rsidRPr="0034148C">
        <w:t xml:space="preserve">Most of the women said family members help them with their new businesses. </w:t>
      </w:r>
      <w:r w:rsidR="003F1BA5" w:rsidRPr="0034148C">
        <w:t xml:space="preserve">Some grantees said that they get more respect from family members now that they run a business. </w:t>
      </w:r>
      <w:proofErr w:type="gramStart"/>
      <w:r w:rsidR="003F1BA5" w:rsidRPr="0034148C">
        <w:t>But</w:t>
      </w:r>
      <w:proofErr w:type="gramEnd"/>
      <w:r w:rsidR="003F1BA5" w:rsidRPr="0034148C">
        <w:t xml:space="preserve"> others said that r</w:t>
      </w:r>
      <w:r w:rsidRPr="0034148C">
        <w:t xml:space="preserve">elationships in </w:t>
      </w:r>
      <w:r w:rsidR="003F1BA5" w:rsidRPr="0034148C">
        <w:t xml:space="preserve">their </w:t>
      </w:r>
      <w:r w:rsidRPr="0034148C">
        <w:t>families mostly have not changed</w:t>
      </w:r>
      <w:r w:rsidR="003F1BA5" w:rsidRPr="0034148C">
        <w:t xml:space="preserve">. </w:t>
      </w:r>
    </w:p>
    <w:p w:rsidR="002269A7" w:rsidRPr="0034148C" w:rsidRDefault="003F1BA5" w:rsidP="003F1BA5">
      <w:pPr>
        <w:pStyle w:val="Quote"/>
      </w:pPr>
      <w:r w:rsidRPr="0034148C">
        <w:t xml:space="preserve">A </w:t>
      </w:r>
      <w:r w:rsidR="002269A7" w:rsidRPr="0034148C">
        <w:t xml:space="preserve">woman does not start commanding just because she </w:t>
      </w:r>
      <w:proofErr w:type="gramStart"/>
      <w:r w:rsidR="002269A7" w:rsidRPr="0034148C">
        <w:t>has got</w:t>
      </w:r>
      <w:proofErr w:type="gramEnd"/>
      <w:r w:rsidR="002269A7" w:rsidRPr="0034148C">
        <w:t xml:space="preserve"> the grant.</w:t>
      </w:r>
      <w:r w:rsidRPr="0034148C">
        <w:t xml:space="preserve"> (IDP, grantee FGD)</w:t>
      </w:r>
    </w:p>
    <w:p w:rsidR="002269A7" w:rsidRPr="0034148C" w:rsidRDefault="003F1BA5" w:rsidP="002269A7">
      <w:r w:rsidRPr="0034148C">
        <w:t xml:space="preserve">The quantitative survey also asked about </w:t>
      </w:r>
      <w:r w:rsidR="00F01E84" w:rsidRPr="0034148C">
        <w:t>what changes the women had experienced after receiving the grant. While</w:t>
      </w:r>
      <w:r w:rsidR="00D320FA" w:rsidRPr="0034148C">
        <w:t xml:space="preserve"> a majority of respondents said that they had improved economic conditions, now have an independent source of income and had increased self-esteem, only 28% said that the business improved relations in their family (Figure 4.2.3). However, only a very small percentage said that the business created conflicts or worsened relations with the family.</w:t>
      </w:r>
    </w:p>
    <w:p w:rsidR="00D91F9C" w:rsidRDefault="000E2D55" w:rsidP="000E2D55">
      <w:bookmarkStart w:id="165" w:name="_Toc338571941"/>
      <w:bookmarkStart w:id="166" w:name="_Toc338717180"/>
      <w:r w:rsidRPr="0034148C">
        <w:t xml:space="preserve">The quantitative survey also provides information about grantees’ attitudes towards gender differences in running a business. As seen in Figure 4.2.4, the majority felt that men and women are equally good at business management, though a substantial minority (26%) felt that women are better managers. With regard to supporting a family, respondents </w:t>
      </w:r>
      <w:proofErr w:type="gramStart"/>
      <w:r w:rsidRPr="0034148C">
        <w:t>were about evenly split</w:t>
      </w:r>
      <w:proofErr w:type="gramEnd"/>
      <w:r w:rsidRPr="0034148C">
        <w:t xml:space="preserve"> between those who felt that there is no difference between men and women supporting the family and those who felt that it is better for the man to support the family.</w:t>
      </w:r>
    </w:p>
    <w:p w:rsidR="00D91F9C" w:rsidRDefault="00D91F9C">
      <w:pPr>
        <w:spacing w:after="200"/>
        <w:jc w:val="left"/>
      </w:pPr>
      <w:r>
        <w:br w:type="page"/>
      </w:r>
    </w:p>
    <w:p w:rsidR="00D320FA" w:rsidRPr="0034148C" w:rsidRDefault="00D320FA" w:rsidP="00D91F9C">
      <w:pPr>
        <w:pStyle w:val="Heading5"/>
      </w:pPr>
      <w:bookmarkStart w:id="167" w:name="_Toc338750246"/>
      <w:bookmarkStart w:id="168" w:name="_Toc339368815"/>
      <w:r w:rsidRPr="0034148C">
        <w:lastRenderedPageBreak/>
        <w:t xml:space="preserve">Figure 4.2.3: </w:t>
      </w:r>
      <w:r w:rsidR="003D03CD" w:rsidRPr="0034148C">
        <w:t>Survey r</w:t>
      </w:r>
      <w:r w:rsidRPr="0034148C">
        <w:t>esponses to how the business had changed their life (in percents)</w:t>
      </w:r>
      <w:bookmarkEnd w:id="165"/>
      <w:r w:rsidR="003D03CD" w:rsidRPr="0034148C">
        <w:t xml:space="preserve"> (N=49)</w:t>
      </w:r>
      <w:bookmarkEnd w:id="166"/>
      <w:bookmarkEnd w:id="167"/>
      <w:bookmarkEnd w:id="168"/>
    </w:p>
    <w:p w:rsidR="003D03CD" w:rsidRPr="0034148C" w:rsidRDefault="00D91F9C" w:rsidP="003D03CD">
      <w:pPr>
        <w:pStyle w:val="Figurenote"/>
      </w:pPr>
      <w:r>
        <w:rPr>
          <w:noProof/>
          <w:lang w:bidi="th-TH"/>
        </w:rPr>
        <w:drawing>
          <wp:anchor distT="91440" distB="91440" distL="114300" distR="114300" simplePos="0" relativeHeight="251673600" behindDoc="0" locked="0" layoutInCell="1" allowOverlap="0">
            <wp:simplePos x="0" y="0"/>
            <wp:positionH relativeFrom="margin">
              <wp:posOffset>462280</wp:posOffset>
            </wp:positionH>
            <wp:positionV relativeFrom="paragraph">
              <wp:posOffset>126365</wp:posOffset>
            </wp:positionV>
            <wp:extent cx="4996815" cy="3296920"/>
            <wp:effectExtent l="19050" t="0" r="13335" b="0"/>
            <wp:wrapTopAndBottom/>
            <wp:docPr id="5"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3D03CD" w:rsidRPr="0034148C">
        <w:tab/>
        <w:t>Source: Women entrepreneur survey</w:t>
      </w:r>
    </w:p>
    <w:p w:rsidR="003D03CD" w:rsidRPr="0034148C" w:rsidRDefault="003D03CD" w:rsidP="00D320FA"/>
    <w:p w:rsidR="00DC571B" w:rsidRPr="0034148C" w:rsidRDefault="00AB6572" w:rsidP="00D320FA">
      <w:r w:rsidRPr="0034148C">
        <w:t xml:space="preserve">Nonetheless, grantees expressed that </w:t>
      </w:r>
      <w:r w:rsidR="00DC571B" w:rsidRPr="0034148C">
        <w:t xml:space="preserve">they </w:t>
      </w:r>
      <w:r w:rsidRPr="0034148C">
        <w:t xml:space="preserve">evaluated the role of the grant program in their lives very positively and not only in terms of increased income. </w:t>
      </w:r>
    </w:p>
    <w:p w:rsidR="00DC571B" w:rsidRPr="0034148C" w:rsidRDefault="00AB6572" w:rsidP="00DC571B">
      <w:pPr>
        <w:pStyle w:val="Quote"/>
      </w:pPr>
      <w:r w:rsidRPr="0034148C">
        <w:t xml:space="preserve">The project gave us hope and </w:t>
      </w:r>
      <w:r w:rsidR="00DC571B" w:rsidRPr="0034148C">
        <w:t xml:space="preserve">a </w:t>
      </w:r>
      <w:r w:rsidRPr="0034148C">
        <w:t xml:space="preserve">future. </w:t>
      </w:r>
      <w:r w:rsidR="00DC571B" w:rsidRPr="0034148C">
        <w:t>(IDP, grantee FGD)</w:t>
      </w:r>
    </w:p>
    <w:p w:rsidR="00AB6572" w:rsidRDefault="00AB6572" w:rsidP="00DC571B">
      <w:pPr>
        <w:pStyle w:val="Quote"/>
        <w:rPr>
          <w:lang w:bidi="th-TH"/>
        </w:rPr>
      </w:pPr>
      <w:r w:rsidRPr="0034148C">
        <w:t xml:space="preserve">The project had other importance for </w:t>
      </w:r>
      <w:proofErr w:type="gramStart"/>
      <w:r w:rsidRPr="0034148C">
        <w:t>me,</w:t>
      </w:r>
      <w:proofErr w:type="gramEnd"/>
      <w:r w:rsidRPr="0034148C">
        <w:t xml:space="preserve"> it gave me back</w:t>
      </w:r>
      <w:r w:rsidR="00F9214F" w:rsidRPr="0034148C">
        <w:t xml:space="preserve"> my</w:t>
      </w:r>
      <w:r w:rsidRPr="0034148C">
        <w:t xml:space="preserve"> interest in life</w:t>
      </w:r>
      <w:r w:rsidR="00DC571B" w:rsidRPr="0034148C">
        <w:t>. (IDP, grantee FGD)</w:t>
      </w:r>
    </w:p>
    <w:p w:rsidR="00D91F9C" w:rsidRDefault="00D91F9C" w:rsidP="00D91F9C">
      <w:r>
        <w:t xml:space="preserve">FGD participants noted that they get many comments and questions from their neighbors about how they managed to start their own business. </w:t>
      </w:r>
      <w:r w:rsidRPr="0034148C">
        <w:t xml:space="preserve">While the grantees sometimes faced </w:t>
      </w:r>
      <w:r>
        <w:t xml:space="preserve">envious </w:t>
      </w:r>
      <w:r w:rsidRPr="0034148C">
        <w:t>comments from neighbors about joining the program</w:t>
      </w:r>
      <w:r>
        <w:t xml:space="preserve"> (see below)</w:t>
      </w:r>
      <w:r w:rsidRPr="0034148C">
        <w:t>, th</w:t>
      </w:r>
      <w:r>
        <w:t xml:space="preserve">is is </w:t>
      </w:r>
      <w:r w:rsidRPr="0034148C">
        <w:t>also show evidence that the program succeeded in modeling the feasibility of women to run their own business. Non-grantees also said that the CARE program gave many women in the community the motivation to start businesses. Grantees themselves expressed positive attitudes towards business management, both in the FGD and the quantitative survey (Figure 4.2.5).</w:t>
      </w:r>
    </w:p>
    <w:p w:rsidR="00D91F9C" w:rsidRPr="00D91F9C" w:rsidRDefault="00D91F9C" w:rsidP="00D91F9C">
      <w:pPr>
        <w:rPr>
          <w:lang w:bidi="th-TH"/>
        </w:rPr>
      </w:pPr>
    </w:p>
    <w:p w:rsidR="006A7D6D" w:rsidRPr="002B3758" w:rsidRDefault="00B72EDA" w:rsidP="002B3758">
      <w:pPr>
        <w:pStyle w:val="Heading5"/>
      </w:pPr>
      <w:r w:rsidRPr="002B3758">
        <w:lastRenderedPageBreak/>
        <w:t xml:space="preserve"> </w:t>
      </w:r>
      <w:bookmarkStart w:id="169" w:name="_Toc338717181"/>
      <w:bookmarkStart w:id="170" w:name="_Toc338750247"/>
      <w:bookmarkStart w:id="171" w:name="_Toc339368816"/>
      <w:bookmarkEnd w:id="131"/>
      <w:r w:rsidR="006A7D6D" w:rsidRPr="002B3758">
        <w:rPr>
          <w:rStyle w:val="Heading5Char"/>
          <w:noProof/>
          <w:lang w:bidi="th-TH"/>
        </w:rPr>
        <w:drawing>
          <wp:anchor distT="91440" distB="91440" distL="114300" distR="114300" simplePos="0" relativeHeight="251675648" behindDoc="0" locked="1" layoutInCell="1" allowOverlap="0">
            <wp:simplePos x="0" y="0"/>
            <wp:positionH relativeFrom="margin">
              <wp:align>center</wp:align>
            </wp:positionH>
            <wp:positionV relativeFrom="paragraph">
              <wp:posOffset>624840</wp:posOffset>
            </wp:positionV>
            <wp:extent cx="5029200" cy="3284220"/>
            <wp:effectExtent l="19050" t="0" r="19050" b="0"/>
            <wp:wrapTopAndBottom/>
            <wp:docPr id="6"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bookmarkStart w:id="172" w:name="_Toc338571942"/>
      <w:r w:rsidR="006A7D6D" w:rsidRPr="002B3758">
        <w:rPr>
          <w:rStyle w:val="Heading5Char"/>
        </w:rPr>
        <w:t>Figure 4.2.4: Attitudes toward gender differences in managing a business and supporting a family (in percents)</w:t>
      </w:r>
      <w:bookmarkEnd w:id="172"/>
      <w:r w:rsidR="0023518C" w:rsidRPr="002B3758">
        <w:rPr>
          <w:rStyle w:val="Heading5Char"/>
        </w:rPr>
        <w:t xml:space="preserve"> (N=49)</w:t>
      </w:r>
      <w:bookmarkEnd w:id="169"/>
      <w:bookmarkEnd w:id="170"/>
      <w:bookmarkEnd w:id="171"/>
    </w:p>
    <w:p w:rsidR="0023518C" w:rsidRPr="0034148C" w:rsidRDefault="0023518C" w:rsidP="0023518C">
      <w:pPr>
        <w:pStyle w:val="Figurenote"/>
      </w:pPr>
      <w:bookmarkStart w:id="173" w:name="_Toc338572128"/>
      <w:r w:rsidRPr="0034148C">
        <w:tab/>
        <w:t>Source: Women entrepreneur survey</w:t>
      </w:r>
    </w:p>
    <w:p w:rsidR="00D46041" w:rsidRDefault="00D46041" w:rsidP="00D46041"/>
    <w:p w:rsidR="00D9639A" w:rsidRPr="0034148C" w:rsidRDefault="00D9639A" w:rsidP="00D9639A">
      <w:pPr>
        <w:pStyle w:val="Heading3"/>
      </w:pPr>
      <w:bookmarkStart w:id="174" w:name="_Toc338717140"/>
      <w:bookmarkStart w:id="175" w:name="_Toc338750171"/>
      <w:bookmarkStart w:id="176" w:name="_Toc339368764"/>
      <w:r w:rsidRPr="0034148C">
        <w:t>4.2.4 Effectiveness of the program integrating IDPs with the local communities</w:t>
      </w:r>
      <w:bookmarkEnd w:id="174"/>
      <w:bookmarkEnd w:id="175"/>
      <w:bookmarkEnd w:id="176"/>
    </w:p>
    <w:p w:rsidR="00D9639A" w:rsidRPr="0034148C" w:rsidRDefault="00D9639A" w:rsidP="00D9639A">
      <w:r w:rsidRPr="0034148C">
        <w:t>Participants in both FGDs felt that the new businesses had a positive impact on the communities where they are located. Benefits included that the residents use their services, and that the businesses raised the economic level of life in the community.</w:t>
      </w:r>
    </w:p>
    <w:p w:rsidR="00D9639A" w:rsidRPr="0034148C" w:rsidRDefault="00D9639A" w:rsidP="00D9639A">
      <w:pPr>
        <w:pStyle w:val="Quote"/>
      </w:pPr>
      <w:r w:rsidRPr="0034148C">
        <w:t>The less poor people there are in the community, the better. (IDP, grantee FGD)</w:t>
      </w:r>
    </w:p>
    <w:p w:rsidR="00D9639A" w:rsidRPr="0034148C" w:rsidRDefault="00D9639A" w:rsidP="00D46041">
      <w:r w:rsidRPr="0034148C">
        <w:t xml:space="preserve">Non-grantees also said that in their opinion the business </w:t>
      </w:r>
      <w:proofErr w:type="gramStart"/>
      <w:r w:rsidRPr="0034148C">
        <w:t>projects which</w:t>
      </w:r>
      <w:proofErr w:type="gramEnd"/>
      <w:r w:rsidRPr="0034148C">
        <w:t xml:space="preserve"> got financing benefited their communities. Women from Koda settlement especially emphasized that they need new</w:t>
      </w:r>
      <w:r w:rsidR="000E2D55">
        <w:t xml:space="preserve"> </w:t>
      </w:r>
      <w:r w:rsidR="000E2D55" w:rsidRPr="0034148C">
        <w:t xml:space="preserve">businesses opened because they are far from the local communities and from other settlements.  </w:t>
      </w:r>
    </w:p>
    <w:p w:rsidR="00D46041" w:rsidRDefault="00D46041">
      <w:pPr>
        <w:spacing w:after="200"/>
        <w:jc w:val="left"/>
        <w:rPr>
          <w:rFonts w:eastAsiaTheme="majorEastAsia" w:cstheme="minorHAnsi"/>
          <w:b/>
          <w:bCs/>
          <w:szCs w:val="20"/>
        </w:rPr>
      </w:pPr>
      <w:bookmarkStart w:id="177" w:name="_Toc338571943"/>
      <w:bookmarkStart w:id="178" w:name="_Toc338717182"/>
      <w:r>
        <w:br w:type="page"/>
      </w:r>
    </w:p>
    <w:p w:rsidR="00D46041" w:rsidRPr="0034148C" w:rsidRDefault="00D46041" w:rsidP="00D46041">
      <w:pPr>
        <w:pStyle w:val="Heading5"/>
      </w:pPr>
      <w:bookmarkStart w:id="179" w:name="_Toc338750248"/>
      <w:bookmarkStart w:id="180" w:name="_Toc339368817"/>
      <w:r w:rsidRPr="0034148C">
        <w:lastRenderedPageBreak/>
        <w:t>Figure 4.2.5: Attitudes towards business enterprises (in percents)</w:t>
      </w:r>
      <w:bookmarkEnd w:id="177"/>
      <w:r w:rsidRPr="0034148C">
        <w:t xml:space="preserve"> (N=49)</w:t>
      </w:r>
      <w:bookmarkEnd w:id="178"/>
      <w:bookmarkEnd w:id="179"/>
      <w:bookmarkEnd w:id="180"/>
    </w:p>
    <w:p w:rsidR="0023518C" w:rsidRPr="0034148C" w:rsidRDefault="00A47602" w:rsidP="00A47602">
      <w:pPr>
        <w:pStyle w:val="Figurenote"/>
      </w:pPr>
      <w:r>
        <w:tab/>
      </w:r>
      <w:r w:rsidRPr="0034148C">
        <w:t>Source: Women entrepreneur survey</w:t>
      </w:r>
      <w:r w:rsidRPr="00D46041">
        <w:t xml:space="preserve"> </w:t>
      </w:r>
      <w:r w:rsidR="00D46041" w:rsidRPr="00D46041">
        <w:rPr>
          <w:noProof/>
          <w:lang w:bidi="th-TH"/>
        </w:rPr>
        <w:drawing>
          <wp:anchor distT="91440" distB="91440" distL="114300" distR="114300" simplePos="0" relativeHeight="251689984" behindDoc="0" locked="1" layoutInCell="1" allowOverlap="0">
            <wp:simplePos x="0" y="0"/>
            <wp:positionH relativeFrom="margin">
              <wp:align>center</wp:align>
            </wp:positionH>
            <wp:positionV relativeFrom="paragraph">
              <wp:posOffset>182880</wp:posOffset>
            </wp:positionV>
            <wp:extent cx="5027295" cy="3284220"/>
            <wp:effectExtent l="19050" t="0" r="20955" b="0"/>
            <wp:wrapTopAndBottom/>
            <wp:docPr id="19"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bookmarkEnd w:id="173"/>
    <w:p w:rsidR="000E2D55" w:rsidRDefault="000E2D55" w:rsidP="00DC571B"/>
    <w:p w:rsidR="00B72EDA" w:rsidRPr="0034148C" w:rsidRDefault="00B72EDA" w:rsidP="00DC571B">
      <w:r w:rsidRPr="0034148C">
        <w:t xml:space="preserve">Participants from Sakasheti mentioned that their community has especially benefited from the new mill.  Shops also improved the level of life in the settlements. </w:t>
      </w:r>
    </w:p>
    <w:p w:rsidR="00B72EDA" w:rsidRPr="0034148C" w:rsidRDefault="00B72EDA" w:rsidP="00B72EDA">
      <w:pPr>
        <w:pStyle w:val="Quote"/>
      </w:pPr>
      <w:r w:rsidRPr="0034148C">
        <w:t xml:space="preserve">We have nothing in </w:t>
      </w:r>
      <w:r w:rsidR="007C6A7C">
        <w:t xml:space="preserve">our </w:t>
      </w:r>
      <w:r w:rsidRPr="0034148C">
        <w:t>settlement, not even agricultural land, just two shops. (IDP, non-grantee FGD)</w:t>
      </w:r>
    </w:p>
    <w:p w:rsidR="00B72EDA" w:rsidRPr="0034148C" w:rsidRDefault="00B72EDA" w:rsidP="00B72EDA">
      <w:r w:rsidRPr="0034148C">
        <w:t>Grantees</w:t>
      </w:r>
      <w:r w:rsidR="00954609" w:rsidRPr="0034148C">
        <w:t xml:space="preserve"> in the FGD</w:t>
      </w:r>
      <w:r w:rsidRPr="0034148C">
        <w:t xml:space="preserve"> </w:t>
      </w:r>
      <w:r w:rsidR="006F1966" w:rsidRPr="0034148C">
        <w:t>said that t</w:t>
      </w:r>
      <w:r w:rsidRPr="0034148C">
        <w:t xml:space="preserve">heir relations with community have also changed – they now have </w:t>
      </w:r>
      <w:proofErr w:type="gramStart"/>
      <w:r w:rsidRPr="0034148C">
        <w:t>more new acquaintances, even friends,</w:t>
      </w:r>
      <w:proofErr w:type="gramEnd"/>
      <w:r w:rsidRPr="0034148C">
        <w:t xml:space="preserve"> and get more respect. </w:t>
      </w:r>
      <w:r w:rsidR="00954609" w:rsidRPr="0034148C">
        <w:t>However, with regard to fellow IDPs in their communities, there were some negative feelings</w:t>
      </w:r>
      <w:r w:rsidRPr="0034148C">
        <w:t xml:space="preserve"> expressed </w:t>
      </w:r>
      <w:r w:rsidR="00954609" w:rsidRPr="0034148C">
        <w:t xml:space="preserve">such as </w:t>
      </w:r>
      <w:r w:rsidRPr="0034148C">
        <w:t xml:space="preserve">envy and hostility. </w:t>
      </w:r>
      <w:r w:rsidR="00954609" w:rsidRPr="0034148C">
        <w:t>Neighbors expressed criticism about the women stepping outside her previous role and activities.</w:t>
      </w:r>
    </w:p>
    <w:p w:rsidR="00B72EDA" w:rsidRPr="0034148C" w:rsidRDefault="00B72EDA" w:rsidP="00CF10D3">
      <w:pPr>
        <w:pStyle w:val="Quote"/>
      </w:pPr>
      <w:r w:rsidRPr="0034148C">
        <w:t xml:space="preserve">I know this </w:t>
      </w:r>
      <w:proofErr w:type="gramStart"/>
      <w:r w:rsidRPr="0034148C">
        <w:t>business,</w:t>
      </w:r>
      <w:proofErr w:type="gramEnd"/>
      <w:r w:rsidRPr="0034148C">
        <w:t xml:space="preserve"> I was doing this before displacement. </w:t>
      </w:r>
      <w:r w:rsidR="00CF10D3" w:rsidRPr="0034148C">
        <w:t>Yet w</w:t>
      </w:r>
      <w:r w:rsidRPr="0034148C">
        <w:t xml:space="preserve">hile I was going to the trainings, there were some neighbors who said, have you nothing to do, that you go there? When I </w:t>
      </w:r>
      <w:proofErr w:type="gramStart"/>
      <w:r w:rsidR="00954609" w:rsidRPr="0034148C">
        <w:t>got</w:t>
      </w:r>
      <w:proofErr w:type="gramEnd"/>
      <w:r w:rsidR="00954609" w:rsidRPr="0034148C">
        <w:t xml:space="preserve"> financed, they were envious</w:t>
      </w:r>
      <w:r w:rsidRPr="0034148C">
        <w:t>.</w:t>
      </w:r>
      <w:r w:rsidR="00CF10D3" w:rsidRPr="0034148C">
        <w:t xml:space="preserve"> (IDP, grantee FGD)</w:t>
      </w:r>
    </w:p>
    <w:p w:rsidR="00B72EDA" w:rsidRPr="0034148C" w:rsidRDefault="00B72EDA" w:rsidP="00CF10D3">
      <w:pPr>
        <w:pStyle w:val="Quote"/>
      </w:pPr>
      <w:r w:rsidRPr="0034148C">
        <w:t xml:space="preserve">When I was writing the project, neighbors said: </w:t>
      </w:r>
      <w:proofErr w:type="gramStart"/>
      <w:r w:rsidRPr="0034148C">
        <w:t xml:space="preserve">have you </w:t>
      </w:r>
      <w:r w:rsidR="00CF10D3" w:rsidRPr="0034148C">
        <w:t>got</w:t>
      </w:r>
      <w:proofErr w:type="gramEnd"/>
      <w:r w:rsidR="00CF10D3" w:rsidRPr="0034148C">
        <w:t xml:space="preserve"> </w:t>
      </w:r>
      <w:r w:rsidRPr="0034148C">
        <w:t xml:space="preserve">nothing to do? </w:t>
      </w:r>
      <w:r w:rsidR="00CF10D3" w:rsidRPr="0034148C">
        <w:t>Then w</w:t>
      </w:r>
      <w:r w:rsidRPr="0034148C">
        <w:t xml:space="preserve">hen I </w:t>
      </w:r>
      <w:proofErr w:type="gramStart"/>
      <w:r w:rsidRPr="0034148C">
        <w:t>got</w:t>
      </w:r>
      <w:proofErr w:type="gramEnd"/>
      <w:r w:rsidRPr="0034148C">
        <w:t xml:space="preserve"> financed, they were coming and asking to give it to them to copy.</w:t>
      </w:r>
      <w:r w:rsidR="00CF10D3" w:rsidRPr="0034148C">
        <w:t xml:space="preserve"> (IDP, grantee FGD)</w:t>
      </w:r>
    </w:p>
    <w:p w:rsidR="0023518C" w:rsidRPr="0034148C" w:rsidRDefault="00A47602" w:rsidP="00A47602">
      <w:r>
        <w:lastRenderedPageBreak/>
        <w:t>The quotes above also show that the women entrepreneurs became role models for successfully running a business.</w:t>
      </w:r>
      <w:r w:rsidR="0023518C" w:rsidRPr="0034148C">
        <w:tab/>
      </w:r>
    </w:p>
    <w:p w:rsidR="006E4296" w:rsidRPr="0034148C" w:rsidRDefault="006E4296" w:rsidP="006E4296">
      <w:pPr>
        <w:pStyle w:val="Heading3"/>
      </w:pPr>
      <w:bookmarkStart w:id="181" w:name="_Toc338572130"/>
      <w:bookmarkStart w:id="182" w:name="_Toc338717141"/>
      <w:bookmarkStart w:id="183" w:name="_Toc338750172"/>
      <w:bookmarkStart w:id="184" w:name="_Toc339368765"/>
      <w:r w:rsidRPr="0034148C">
        <w:t>4.2.</w:t>
      </w:r>
      <w:r w:rsidR="0019678C" w:rsidRPr="0034148C">
        <w:t>5</w:t>
      </w:r>
      <w:r w:rsidRPr="0034148C">
        <w:t xml:space="preserve"> </w:t>
      </w:r>
      <w:bookmarkEnd w:id="181"/>
      <w:r w:rsidR="0019678C" w:rsidRPr="0034148C">
        <w:t>Challenges of the program</w:t>
      </w:r>
      <w:bookmarkEnd w:id="182"/>
      <w:bookmarkEnd w:id="183"/>
      <w:bookmarkEnd w:id="184"/>
    </w:p>
    <w:p w:rsidR="006E4296" w:rsidRPr="0034148C" w:rsidRDefault="006E4296" w:rsidP="006E4296">
      <w:r w:rsidRPr="0034148C">
        <w:t xml:space="preserve">CARE staff set up systematic and transparent criteria for selecting the grantees for the program. Applications </w:t>
      </w:r>
      <w:proofErr w:type="gramStart"/>
      <w:r w:rsidRPr="0034148C">
        <w:t>were first reviewed</w:t>
      </w:r>
      <w:proofErr w:type="gramEnd"/>
      <w:r w:rsidRPr="0034148C">
        <w:t xml:space="preserve"> and finalists were selected to attend the training program. This group of finalists the</w:t>
      </w:r>
      <w:r w:rsidR="00B13C45" w:rsidRPr="0034148C">
        <w:t xml:space="preserve">n prepared business plans that </w:t>
      </w:r>
      <w:proofErr w:type="gramStart"/>
      <w:r w:rsidR="00B13C45" w:rsidRPr="0034148C">
        <w:t>were reviewed</w:t>
      </w:r>
      <w:proofErr w:type="gramEnd"/>
      <w:r w:rsidR="00B13C45" w:rsidRPr="0034148C">
        <w:t xml:space="preserve"> by the selection committee. When CARE staff had any doubts that the </w:t>
      </w:r>
      <w:proofErr w:type="gramStart"/>
      <w:r w:rsidR="00B13C45" w:rsidRPr="0034148C">
        <w:t>applicant had prepared the business plan themselves</w:t>
      </w:r>
      <w:proofErr w:type="gramEnd"/>
      <w:r w:rsidR="00B13C45" w:rsidRPr="0034148C">
        <w:t xml:space="preserve">, they made site visits to help determine the capability and motivation of the applicant. Site visits </w:t>
      </w:r>
      <w:proofErr w:type="gramStart"/>
      <w:r w:rsidR="00B13C45" w:rsidRPr="0034148C">
        <w:t>were also used</w:t>
      </w:r>
      <w:proofErr w:type="gramEnd"/>
      <w:r w:rsidR="00B13C45" w:rsidRPr="0034148C">
        <w:t xml:space="preserve"> when a high number of feasible plans were submitted, to further gauge the strength of the application. Both successful applicants (grantees) and non-successful applicants </w:t>
      </w:r>
      <w:r w:rsidR="00621DDD" w:rsidRPr="0034148C">
        <w:t xml:space="preserve">(non-grantees) </w:t>
      </w:r>
      <w:proofErr w:type="gramStart"/>
      <w:r w:rsidR="00B13C45" w:rsidRPr="0034148C">
        <w:t>were informed</w:t>
      </w:r>
      <w:proofErr w:type="gramEnd"/>
      <w:r w:rsidR="00B13C45" w:rsidRPr="0034148C">
        <w:t xml:space="preserve"> of the decision by telephone. Any applicant was welcome to visit the CARE office </w:t>
      </w:r>
      <w:r w:rsidR="0081215C" w:rsidRPr="0034148C">
        <w:t xml:space="preserve">to </w:t>
      </w:r>
      <w:r w:rsidR="00B13C45" w:rsidRPr="0034148C">
        <w:t>obtain further explanation of the</w:t>
      </w:r>
      <w:r w:rsidR="00621DDD" w:rsidRPr="0034148C">
        <w:t>ir</w:t>
      </w:r>
      <w:r w:rsidR="00B13C45" w:rsidRPr="0034148C">
        <w:t xml:space="preserve"> reasons for being </w:t>
      </w:r>
      <w:r w:rsidR="0081215C" w:rsidRPr="0034148C">
        <w:t xml:space="preserve">turned down to view their score and all of the comments made by the selection committee, </w:t>
      </w:r>
      <w:r w:rsidR="00621DDD" w:rsidRPr="0034148C">
        <w:t>as well as to get suggestions for how to improve their business plan for the next round.</w:t>
      </w:r>
    </w:p>
    <w:p w:rsidR="00D3486D" w:rsidRPr="0034148C" w:rsidRDefault="00621DDD" w:rsidP="00D3486D">
      <w:r w:rsidRPr="0034148C">
        <w:t xml:space="preserve">While CARE did its best to make the selection process fair and transparent, this process was not always understandable to those who were not successful. </w:t>
      </w:r>
      <w:r w:rsidR="006E4296" w:rsidRPr="0034148C">
        <w:t xml:space="preserve">The non-grantee FGD participants expressed their dissatisfaction with not </w:t>
      </w:r>
      <w:proofErr w:type="gramStart"/>
      <w:r w:rsidR="006E4296" w:rsidRPr="0034148C">
        <w:t>being selected</w:t>
      </w:r>
      <w:proofErr w:type="gramEnd"/>
      <w:r w:rsidR="006E4296" w:rsidRPr="0034148C">
        <w:t xml:space="preserve"> for a grant by questioning the selection process. Some </w:t>
      </w:r>
      <w:r w:rsidR="00D3486D" w:rsidRPr="0034148C">
        <w:t xml:space="preserve">simply did not understand why, if they </w:t>
      </w:r>
      <w:proofErr w:type="gramStart"/>
      <w:r w:rsidR="00D3486D" w:rsidRPr="0034148C">
        <w:t>were selected</w:t>
      </w:r>
      <w:proofErr w:type="gramEnd"/>
      <w:r w:rsidR="00D3486D" w:rsidRPr="0034148C">
        <w:t xml:space="preserve"> for the training, that their proposal was not good enough to be selected for a grant. Some in fact thought that they had been informed by CARE that they were selected, and then later that they had not. From this </w:t>
      </w:r>
      <w:r w:rsidRPr="0034148C">
        <w:t xml:space="preserve">misunderstanding </w:t>
      </w:r>
      <w:r w:rsidR="00D3486D" w:rsidRPr="0034148C">
        <w:t xml:space="preserve">came speculation and rumors about unfairness in the selection process. These rumors included that </w:t>
      </w:r>
      <w:proofErr w:type="gramStart"/>
      <w:r w:rsidR="00D3486D" w:rsidRPr="0034148C">
        <w:t xml:space="preserve">their ideas were </w:t>
      </w:r>
      <w:r w:rsidR="00B007C5" w:rsidRPr="0034148C">
        <w:t xml:space="preserve">taken by </w:t>
      </w:r>
      <w:r w:rsidR="00D3486D" w:rsidRPr="0034148C">
        <w:t>other applicants</w:t>
      </w:r>
      <w:proofErr w:type="gramEnd"/>
      <w:r w:rsidR="00D3486D" w:rsidRPr="0034148C">
        <w:t>.</w:t>
      </w:r>
    </w:p>
    <w:p w:rsidR="00B007C5" w:rsidRPr="0034148C" w:rsidRDefault="00B007C5" w:rsidP="00B007C5">
      <w:pPr>
        <w:pStyle w:val="Quote"/>
      </w:pPr>
      <w:r w:rsidRPr="0034148C">
        <w:t xml:space="preserve">Representatives of CARE told me that </w:t>
      </w:r>
      <w:r w:rsidR="00E02922" w:rsidRPr="0034148C">
        <w:t xml:space="preserve">I </w:t>
      </w:r>
      <w:proofErr w:type="gramStart"/>
      <w:r w:rsidR="00E02922" w:rsidRPr="0034148C">
        <w:t>got</w:t>
      </w:r>
      <w:proofErr w:type="gramEnd"/>
      <w:r w:rsidRPr="0034148C">
        <w:t xml:space="preserve"> financed, then the financing “disappeared”. I know that </w:t>
      </w:r>
      <w:proofErr w:type="gramStart"/>
      <w:r w:rsidRPr="0034148C">
        <w:t>the grant for my project has been taken by someone else</w:t>
      </w:r>
      <w:proofErr w:type="gramEnd"/>
      <w:r w:rsidRPr="0034148C">
        <w:t>. (IDP, non-grantee FGD)</w:t>
      </w:r>
    </w:p>
    <w:p w:rsidR="00D3486D" w:rsidRPr="0034148C" w:rsidRDefault="00D3486D" w:rsidP="00B007C5">
      <w:pPr>
        <w:pStyle w:val="Quote"/>
      </w:pPr>
      <w:r w:rsidRPr="0034148C">
        <w:t xml:space="preserve">As a rumor </w:t>
      </w:r>
      <w:proofErr w:type="gramStart"/>
      <w:r w:rsidRPr="0034148C">
        <w:t>I was told by other people</w:t>
      </w:r>
      <w:proofErr w:type="gramEnd"/>
      <w:r w:rsidRPr="0034148C">
        <w:t xml:space="preserve"> that my project had been sold. No one afterwards explained t</w:t>
      </w:r>
      <w:r w:rsidR="00B007C5" w:rsidRPr="0034148C">
        <w:t xml:space="preserve">o me why I </w:t>
      </w:r>
      <w:proofErr w:type="gramStart"/>
      <w:r w:rsidR="00B007C5" w:rsidRPr="0034148C">
        <w:t>did not get</w:t>
      </w:r>
      <w:proofErr w:type="gramEnd"/>
      <w:r w:rsidR="00B007C5" w:rsidRPr="0034148C">
        <w:t xml:space="preserve"> financed</w:t>
      </w:r>
      <w:r w:rsidRPr="0034148C">
        <w:t>.</w:t>
      </w:r>
      <w:r w:rsidR="00B007C5" w:rsidRPr="0034148C">
        <w:t xml:space="preserve"> (IDP, non-grantee FGD)</w:t>
      </w:r>
    </w:p>
    <w:p w:rsidR="00D3486D" w:rsidRPr="0034148C" w:rsidRDefault="00B007C5" w:rsidP="00D3486D">
      <w:r w:rsidRPr="0034148C">
        <w:t>Others, while not suggesting that there was corruption in the process, thought that there w</w:t>
      </w:r>
      <w:r w:rsidR="00621DDD" w:rsidRPr="0034148C">
        <w:t>ere</w:t>
      </w:r>
      <w:r w:rsidRPr="0034148C">
        <w:t xml:space="preserve"> some aspects that were not fair. One </w:t>
      </w:r>
      <w:r w:rsidR="00D3486D" w:rsidRPr="0034148C">
        <w:t xml:space="preserve">did not get financing </w:t>
      </w:r>
      <w:r w:rsidRPr="0034148C">
        <w:t xml:space="preserve">when </w:t>
      </w:r>
      <w:r w:rsidR="00D3486D" w:rsidRPr="0034148C">
        <w:t>some family circumstances</w:t>
      </w:r>
      <w:r w:rsidRPr="0034148C">
        <w:t xml:space="preserve"> prevented her from </w:t>
      </w:r>
      <w:r w:rsidR="00D3486D" w:rsidRPr="0034148C">
        <w:t>correct</w:t>
      </w:r>
      <w:r w:rsidRPr="0034148C">
        <w:t>ing</w:t>
      </w:r>
      <w:r w:rsidR="00D3486D" w:rsidRPr="0034148C">
        <w:t xml:space="preserve"> mistakes in </w:t>
      </w:r>
      <w:r w:rsidRPr="0034148C">
        <w:t xml:space="preserve">her proposal </w:t>
      </w:r>
      <w:r w:rsidR="00D3486D" w:rsidRPr="0034148C">
        <w:t>and hand</w:t>
      </w:r>
      <w:r w:rsidRPr="0034148C">
        <w:t>ing</w:t>
      </w:r>
      <w:r w:rsidR="00D3486D" w:rsidRPr="0034148C">
        <w:t xml:space="preserve"> it in again in time. After</w:t>
      </w:r>
      <w:r w:rsidR="00F73F7C" w:rsidRPr="0034148C">
        <w:t xml:space="preserve"> this</w:t>
      </w:r>
      <w:r w:rsidR="00D3486D" w:rsidRPr="0034148C">
        <w:t>, another person got the same business financed</w:t>
      </w:r>
      <w:r w:rsidR="00621DDD" w:rsidRPr="0034148C">
        <w:t>, which seemed unfair to her</w:t>
      </w:r>
      <w:r w:rsidR="00D3486D" w:rsidRPr="0034148C">
        <w:t xml:space="preserve">. The participants also mentioned that they know people who got 2-3 projects financed, while others got nothing. </w:t>
      </w:r>
      <w:r w:rsidR="00621DDD" w:rsidRPr="0034148C">
        <w:t>While t</w:t>
      </w:r>
      <w:r w:rsidR="00F73F7C" w:rsidRPr="0034148C">
        <w:t xml:space="preserve">his includes projects </w:t>
      </w:r>
      <w:r w:rsidR="00D3486D" w:rsidRPr="0034148C">
        <w:t xml:space="preserve">financed by </w:t>
      </w:r>
      <w:r w:rsidR="00F73F7C" w:rsidRPr="0034148C">
        <w:t xml:space="preserve">other organizations besides </w:t>
      </w:r>
      <w:r w:rsidR="00D3486D" w:rsidRPr="0034148C">
        <w:t>CARE</w:t>
      </w:r>
      <w:r w:rsidR="00621DDD" w:rsidRPr="0034148C">
        <w:t xml:space="preserve">, </w:t>
      </w:r>
      <w:r w:rsidR="00D3486D" w:rsidRPr="0034148C">
        <w:t xml:space="preserve">the general attitude </w:t>
      </w:r>
      <w:r w:rsidR="00F73F7C" w:rsidRPr="0034148C">
        <w:t xml:space="preserve">expressed </w:t>
      </w:r>
      <w:r w:rsidR="00D3486D" w:rsidRPr="0034148C">
        <w:t xml:space="preserve">was “if </w:t>
      </w:r>
      <w:r w:rsidR="00F73F7C" w:rsidRPr="0034148C">
        <w:t>an</w:t>
      </w:r>
      <w:r w:rsidR="00D3486D" w:rsidRPr="0034148C">
        <w:t xml:space="preserve">other gets financed three times, why can </w:t>
      </w:r>
      <w:r w:rsidR="00F73F7C" w:rsidRPr="0034148C">
        <w:t xml:space="preserve">I </w:t>
      </w:r>
      <w:r w:rsidR="00D3486D" w:rsidRPr="0034148C">
        <w:t>not get financed once?”</w:t>
      </w:r>
      <w:r w:rsidR="00621DDD" w:rsidRPr="0034148C">
        <w:t xml:space="preserve"> In this way, a feeling of resentment and that some IDPs had some kind of strategic advantage in the selection process was cultivated.</w:t>
      </w:r>
    </w:p>
    <w:p w:rsidR="0081215C" w:rsidRPr="0034148C" w:rsidRDefault="0081215C" w:rsidP="00D3486D">
      <w:r w:rsidRPr="0034148C">
        <w:t xml:space="preserve">CARE staff said that they spent a great deal of time with the non-grantees to explain the process if the person visited the CARE office. </w:t>
      </w:r>
      <w:r w:rsidR="00E77704" w:rsidRPr="0034148C">
        <w:t>They also continued to give advice to non-grantees when they called and stopped by. C</w:t>
      </w:r>
      <w:r w:rsidRPr="0034148C">
        <w:t xml:space="preserve">omplaints that were made in the </w:t>
      </w:r>
      <w:proofErr w:type="gramStart"/>
      <w:r w:rsidRPr="0034148C">
        <w:t>1</w:t>
      </w:r>
      <w:r w:rsidRPr="0034148C">
        <w:rPr>
          <w:vertAlign w:val="superscript"/>
        </w:rPr>
        <w:t>st</w:t>
      </w:r>
      <w:proofErr w:type="gramEnd"/>
      <w:r w:rsidRPr="0034148C">
        <w:t xml:space="preserve"> round</w:t>
      </w:r>
      <w:r w:rsidR="00E77704" w:rsidRPr="0034148C">
        <w:t xml:space="preserve"> were listened to</w:t>
      </w:r>
      <w:r w:rsidRPr="0034148C">
        <w:t xml:space="preserve"> and </w:t>
      </w:r>
      <w:r w:rsidRPr="0034148C">
        <w:lastRenderedPageBreak/>
        <w:t>h</w:t>
      </w:r>
      <w:r w:rsidR="00E77704" w:rsidRPr="0034148C">
        <w:t>elped to improve</w:t>
      </w:r>
      <w:r w:rsidRPr="0034148C">
        <w:t xml:space="preserve"> the process for the 2</w:t>
      </w:r>
      <w:r w:rsidRPr="0034148C">
        <w:rPr>
          <w:vertAlign w:val="superscript"/>
        </w:rPr>
        <w:t>nd</w:t>
      </w:r>
      <w:r w:rsidRPr="0034148C">
        <w:t xml:space="preserve"> and 3</w:t>
      </w:r>
      <w:r w:rsidRPr="0034148C">
        <w:rPr>
          <w:vertAlign w:val="superscript"/>
        </w:rPr>
        <w:t>rd</w:t>
      </w:r>
      <w:r w:rsidRPr="0034148C">
        <w:t xml:space="preserve"> round. Of course, it is difficult to control rumors and the jealousy that can occur when an applicant is not successful, particularly for those who did not take the time to seek out a full explanation of the selection process. </w:t>
      </w:r>
      <w:r w:rsidR="00E77704" w:rsidRPr="0034148C">
        <w:t>The success of the successful grantees in communities where there are few opportunities available may actually exacerbate this resentment, despite CARE’s best efforts.</w:t>
      </w:r>
    </w:p>
    <w:p w:rsidR="0019678C" w:rsidRPr="0034148C" w:rsidRDefault="0019678C" w:rsidP="0019678C">
      <w:pPr>
        <w:pStyle w:val="Heading3"/>
      </w:pPr>
      <w:bookmarkStart w:id="185" w:name="_Toc338572129"/>
      <w:bookmarkStart w:id="186" w:name="_Toc338717142"/>
      <w:bookmarkStart w:id="187" w:name="_Toc338750173"/>
      <w:bookmarkStart w:id="188" w:name="_Toc339368766"/>
      <w:r w:rsidRPr="0034148C">
        <w:t>4.2.6 Sustainability</w:t>
      </w:r>
      <w:bookmarkEnd w:id="185"/>
      <w:bookmarkEnd w:id="186"/>
      <w:bookmarkEnd w:id="187"/>
      <w:bookmarkEnd w:id="188"/>
    </w:p>
    <w:p w:rsidR="0019678C" w:rsidRPr="0034148C" w:rsidRDefault="0019678C" w:rsidP="0019678C">
      <w:r w:rsidRPr="0034148C">
        <w:t>Most evidence indicates that the women’s enterprises that have become operational have also become profitable and are providing substantial incomes for IDP households. The women interviewed for the quantitative survey and in the focus group discussions nearly all said that they would continue running the businesses. Key stakeholders in government and community members all had a positive view of the program and of the benefits that the businesses brought to the communities as well as the grantees themselves and their families. While a small number of the funded businesses have not become operational or have closed down, some of these are due unforeseen circumstances. It is clear that the careful selection process, monitoring, and assistance provided to the women’s enterprises have resulted in a high success rate for this program. CARE staff expressed how they have seen the grantee women’s self-esteem grow over the project period, and that the grantees have expressed that they carry more authority within the family.</w:t>
      </w:r>
    </w:p>
    <w:p w:rsidR="006E4296" w:rsidRPr="0034148C" w:rsidRDefault="006E4296" w:rsidP="006E4296">
      <w:pPr>
        <w:pStyle w:val="Heading3"/>
      </w:pPr>
      <w:bookmarkStart w:id="189" w:name="_Toc338717143"/>
      <w:bookmarkStart w:id="190" w:name="_Toc338750174"/>
      <w:bookmarkStart w:id="191" w:name="_Toc339368767"/>
      <w:bookmarkStart w:id="192" w:name="_Toc338572131"/>
      <w:r w:rsidRPr="0034148C">
        <w:t>4.2.7 Summary</w:t>
      </w:r>
      <w:bookmarkEnd w:id="189"/>
      <w:bookmarkEnd w:id="190"/>
      <w:bookmarkEnd w:id="191"/>
      <w:r w:rsidRPr="0034148C">
        <w:t xml:space="preserve"> </w:t>
      </w:r>
      <w:bookmarkEnd w:id="192"/>
    </w:p>
    <w:p w:rsidR="006E4296" w:rsidRDefault="007C6A7C" w:rsidP="006E4296">
      <w:r>
        <w:t xml:space="preserve">The </w:t>
      </w:r>
      <w:proofErr w:type="gramStart"/>
      <w:r>
        <w:t>grants to women entrepreneurs program has</w:t>
      </w:r>
      <w:proofErr w:type="gramEnd"/>
      <w:r>
        <w:t xml:space="preserve"> created many viable businesses </w:t>
      </w:r>
      <w:r w:rsidR="00A47602">
        <w:t>which provide needed income to IDP families</w:t>
      </w:r>
      <w:r w:rsidR="00830E6D">
        <w:t xml:space="preserve"> and benefits to the wider communities</w:t>
      </w:r>
      <w:r w:rsidR="00A47602">
        <w:t xml:space="preserve">. </w:t>
      </w:r>
      <w:r w:rsidR="00CD08A5">
        <w:t xml:space="preserve">The women have become role models within the community, and report </w:t>
      </w:r>
      <w:proofErr w:type="gramStart"/>
      <w:r w:rsidR="00CD08A5">
        <w:t>that on the whole</w:t>
      </w:r>
      <w:proofErr w:type="gramEnd"/>
      <w:r w:rsidR="00CD08A5">
        <w:t xml:space="preserve"> the effects on family life have been positive.</w:t>
      </w:r>
    </w:p>
    <w:p w:rsidR="00A47602" w:rsidRDefault="00A47602" w:rsidP="006E4296">
      <w:r>
        <w:t xml:space="preserve">It is worth noting that the recommendation to give more grants to agriculturally related businesses that was made </w:t>
      </w:r>
      <w:r w:rsidR="009222FA">
        <w:t xml:space="preserve">in </w:t>
      </w:r>
      <w:r w:rsidR="00EA56F3">
        <w:t>the one-year evaluation was followed</w:t>
      </w:r>
      <w:r>
        <w:t xml:space="preserve">; </w:t>
      </w:r>
      <w:r w:rsidR="00CD08A5">
        <w:t>It is important to examine the underlying factors that contributed to the success or failure of the businesses, as this is part of the learning process for CARE and for the communities as well.</w:t>
      </w:r>
    </w:p>
    <w:p w:rsidR="00CD08A5" w:rsidRPr="0034148C" w:rsidRDefault="00CD08A5" w:rsidP="006E4296">
      <w:r>
        <w:t xml:space="preserve">The limited income and employment opportunities in the region inevitably lead to some resentment among those who were not successful at obtaining a grant, and some jealousy and envy among both IDPs and non-IDPs in the communities. </w:t>
      </w:r>
      <w:proofErr w:type="gramStart"/>
      <w:r w:rsidR="00830E6D">
        <w:t>These experiences have already been used by CARE to improve the application process</w:t>
      </w:r>
      <w:proofErr w:type="gramEnd"/>
      <w:r w:rsidR="00830E6D">
        <w:t xml:space="preserve">. Further work </w:t>
      </w:r>
      <w:proofErr w:type="gramStart"/>
      <w:r w:rsidR="00830E6D">
        <w:t>may be done</w:t>
      </w:r>
      <w:proofErr w:type="gramEnd"/>
      <w:r w:rsidR="00830E6D">
        <w:t xml:space="preserve"> to include more people in training opportunities and to make the selection process even more transparent.</w:t>
      </w:r>
    </w:p>
    <w:p w:rsidR="007C33B9" w:rsidRPr="0034148C" w:rsidRDefault="007C33B9" w:rsidP="007C33B9">
      <w:pPr>
        <w:pStyle w:val="Heading2"/>
      </w:pPr>
      <w:bookmarkStart w:id="193" w:name="_Toc338325592"/>
      <w:bookmarkStart w:id="194" w:name="_Toc338572132"/>
      <w:bookmarkStart w:id="195" w:name="_Toc338717144"/>
      <w:bookmarkStart w:id="196" w:name="_Toc338750175"/>
      <w:bookmarkStart w:id="197" w:name="_Toc339368768"/>
      <w:r w:rsidRPr="0034148C">
        <w:t>4.3 Grants for Jobs Scheme</w:t>
      </w:r>
      <w:bookmarkEnd w:id="193"/>
      <w:bookmarkEnd w:id="194"/>
      <w:bookmarkEnd w:id="195"/>
      <w:bookmarkEnd w:id="196"/>
      <w:bookmarkEnd w:id="197"/>
    </w:p>
    <w:p w:rsidR="004D0C87" w:rsidRPr="0034148C" w:rsidRDefault="00735A67" w:rsidP="007C33B9">
      <w:r w:rsidRPr="0034148C">
        <w:t xml:space="preserve">The third </w:t>
      </w:r>
      <w:r w:rsidR="00CA115D" w:rsidRPr="0034148C">
        <w:t xml:space="preserve">income generating </w:t>
      </w:r>
      <w:r w:rsidRPr="0034148C">
        <w:t xml:space="preserve">approach </w:t>
      </w:r>
      <w:r w:rsidR="00CA115D" w:rsidRPr="0034148C">
        <w:t xml:space="preserve">for the SIIMS project </w:t>
      </w:r>
      <w:r w:rsidRPr="0034148C">
        <w:t xml:space="preserve">is the 'grants for jobs' scheme. </w:t>
      </w:r>
      <w:r w:rsidR="00CA115D" w:rsidRPr="0034148C">
        <w:t xml:space="preserve">The program invited </w:t>
      </w:r>
      <w:r w:rsidRPr="0034148C">
        <w:t xml:space="preserve">businesses </w:t>
      </w:r>
      <w:r w:rsidR="00CA115D" w:rsidRPr="0034148C">
        <w:t xml:space="preserve">in the local communities to submit proposals for </w:t>
      </w:r>
      <w:r w:rsidRPr="0034148C">
        <w:t xml:space="preserve">grants </w:t>
      </w:r>
      <w:r w:rsidR="00CA115D" w:rsidRPr="0034148C">
        <w:t xml:space="preserve">to expand </w:t>
      </w:r>
      <w:r w:rsidRPr="0034148C">
        <w:t>their business</w:t>
      </w:r>
      <w:r w:rsidR="00CA115D" w:rsidRPr="0034148C">
        <w:t>,</w:t>
      </w:r>
      <w:r w:rsidRPr="0034148C">
        <w:t xml:space="preserve"> with the condition that new jobs </w:t>
      </w:r>
      <w:proofErr w:type="gramStart"/>
      <w:r w:rsidR="00F81151" w:rsidRPr="0034148C">
        <w:t>would be</w:t>
      </w:r>
      <w:r w:rsidRPr="0034148C">
        <w:t xml:space="preserve"> created</w:t>
      </w:r>
      <w:proofErr w:type="gramEnd"/>
      <w:r w:rsidR="00CA115D" w:rsidRPr="0034148C">
        <w:t xml:space="preserve"> for IDPs. </w:t>
      </w:r>
      <w:r w:rsidR="009C3C31" w:rsidRPr="0034148C">
        <w:t xml:space="preserve">The grant applications </w:t>
      </w:r>
      <w:proofErr w:type="gramStart"/>
      <w:r w:rsidR="009C3C31" w:rsidRPr="0034148C">
        <w:t xml:space="preserve">were </w:t>
      </w:r>
      <w:r w:rsidR="009C3C31" w:rsidRPr="0034148C">
        <w:rPr>
          <w:rFonts w:cs="Arial"/>
          <w:bCs/>
        </w:rPr>
        <w:t>comprehensively reviewed</w:t>
      </w:r>
      <w:proofErr w:type="gramEnd"/>
      <w:r w:rsidR="009C3C31" w:rsidRPr="0034148C">
        <w:rPr>
          <w:rFonts w:cs="Arial"/>
          <w:bCs/>
        </w:rPr>
        <w:t xml:space="preserve"> with an analysis of the risks associated with enterprise expansion and the likelihood of the investment </w:t>
      </w:r>
      <w:r w:rsidR="00043B3F" w:rsidRPr="0034148C">
        <w:rPr>
          <w:rFonts w:cs="Arial"/>
          <w:bCs/>
        </w:rPr>
        <w:t xml:space="preserve">to result in long-term job creation. </w:t>
      </w:r>
      <w:r w:rsidR="00CA115D" w:rsidRPr="0034148C">
        <w:t xml:space="preserve">The successful applicants </w:t>
      </w:r>
      <w:r w:rsidR="004D0C87" w:rsidRPr="0034148C">
        <w:t xml:space="preserve">were to </w:t>
      </w:r>
      <w:r w:rsidR="009C3C31" w:rsidRPr="0034148C">
        <w:t>receive up to $10,000 for the expansion</w:t>
      </w:r>
      <w:r w:rsidR="000B5638">
        <w:t xml:space="preserve">, and each </w:t>
      </w:r>
      <w:proofErr w:type="gramStart"/>
      <w:r w:rsidR="000B5638">
        <w:t xml:space="preserve">business </w:t>
      </w:r>
      <w:r w:rsidR="000B5638">
        <w:lastRenderedPageBreak/>
        <w:t>also</w:t>
      </w:r>
      <w:proofErr w:type="gramEnd"/>
      <w:r w:rsidR="000B5638">
        <w:t xml:space="preserve"> contributed some of their own money. T</w:t>
      </w:r>
      <w:r w:rsidR="009C3C31" w:rsidRPr="0034148C">
        <w:t xml:space="preserve">hey then </w:t>
      </w:r>
      <w:r w:rsidR="00CA115D" w:rsidRPr="0034148C">
        <w:t>hire</w:t>
      </w:r>
      <w:r w:rsidR="00043B3F" w:rsidRPr="0034148C">
        <w:t>d</w:t>
      </w:r>
      <w:r w:rsidR="00CA115D" w:rsidRPr="0034148C">
        <w:t xml:space="preserve"> IDPs </w:t>
      </w:r>
      <w:r w:rsidR="009222FA">
        <w:t xml:space="preserve">as ordinary employees </w:t>
      </w:r>
      <w:r w:rsidR="00CA115D" w:rsidRPr="0034148C">
        <w:t>and</w:t>
      </w:r>
      <w:r w:rsidRPr="0034148C">
        <w:t xml:space="preserve"> provide</w:t>
      </w:r>
      <w:r w:rsidR="00043B3F" w:rsidRPr="0034148C">
        <w:t>d</w:t>
      </w:r>
      <w:r w:rsidRPr="0034148C">
        <w:t xml:space="preserve"> them with on-the-job training</w:t>
      </w:r>
      <w:r w:rsidR="00CA115D" w:rsidRPr="0034148C">
        <w:t>.</w:t>
      </w:r>
      <w:r w:rsidRPr="0034148C">
        <w:t xml:space="preserve"> </w:t>
      </w:r>
    </w:p>
    <w:p w:rsidR="00701E17" w:rsidRPr="0034148C" w:rsidRDefault="00701E17" w:rsidP="00701E17">
      <w:r w:rsidRPr="0034148C">
        <w:t>Project outputs as defined in the logical framework were to support at least 15 local businesses to employ at least 35 IDPs, contributing to the specific objective of increasing household incomes by 20%.</w:t>
      </w:r>
      <w:r w:rsidR="004D0C87" w:rsidRPr="0034148C">
        <w:t xml:space="preserve"> While the overall objective of the project was to create employment for IDPs, it also </w:t>
      </w:r>
      <w:r w:rsidR="00F81151" w:rsidRPr="0034148C">
        <w:t xml:space="preserve">endeavored </w:t>
      </w:r>
      <w:r w:rsidR="00FA0FE2" w:rsidRPr="0034148C">
        <w:t>to provide IDPs with skills that would help them succeed in the overall job market.</w:t>
      </w:r>
    </w:p>
    <w:p w:rsidR="00043B3F" w:rsidRPr="0034148C" w:rsidRDefault="00043B3F" w:rsidP="00043B3F">
      <w:pPr>
        <w:pStyle w:val="Heading3"/>
      </w:pPr>
      <w:bookmarkStart w:id="198" w:name="_Toc338572133"/>
      <w:bookmarkStart w:id="199" w:name="_Toc338717145"/>
      <w:bookmarkStart w:id="200" w:name="_Toc338750176"/>
      <w:bookmarkStart w:id="201" w:name="_Toc339368769"/>
      <w:r w:rsidRPr="0034148C">
        <w:t>4.3.1 Achievements of the program</w:t>
      </w:r>
      <w:bookmarkEnd w:id="198"/>
      <w:bookmarkEnd w:id="199"/>
      <w:bookmarkEnd w:id="200"/>
      <w:bookmarkEnd w:id="201"/>
    </w:p>
    <w:p w:rsidR="001D351B" w:rsidRPr="0034148C" w:rsidRDefault="001D351B" w:rsidP="001D351B">
      <w:r w:rsidRPr="0034148C">
        <w:t xml:space="preserve">The one-year evaluation of the program reported that </w:t>
      </w:r>
      <w:proofErr w:type="gramStart"/>
      <w:r w:rsidRPr="0034148C">
        <w:t>4</w:t>
      </w:r>
      <w:proofErr w:type="gramEnd"/>
      <w:r w:rsidRPr="0034148C">
        <w:t xml:space="preserve"> businesses had been given grants up to that time, employing 19 IDPs</w:t>
      </w:r>
      <w:r w:rsidR="007C0FD1">
        <w:t xml:space="preserve"> (Jafarli, 2010)</w:t>
      </w:r>
      <w:r w:rsidRPr="0034148C">
        <w:t xml:space="preserve">. The study found that the review process for selecting businesses </w:t>
      </w:r>
      <w:proofErr w:type="gramStart"/>
      <w:r w:rsidRPr="0034148C">
        <w:t>was being carefully done</w:t>
      </w:r>
      <w:proofErr w:type="gramEnd"/>
      <w:r w:rsidRPr="0034148C">
        <w:t xml:space="preserve">. However, it noted that the grants for job scheme appeared to be the least cost efficient of the three income generation projects when comparing the amount of the grants with the number of people benefitting. </w:t>
      </w:r>
    </w:p>
    <w:p w:rsidR="00667FC7" w:rsidRDefault="00043B3F" w:rsidP="00FB7FAF">
      <w:pPr>
        <w:rPr>
          <w:lang w:bidi="th-TH"/>
        </w:rPr>
      </w:pPr>
      <w:r w:rsidRPr="0034148C">
        <w:t>By the end of the project period, 1</w:t>
      </w:r>
      <w:r w:rsidR="00CE2F4C">
        <w:t>5 b</w:t>
      </w:r>
      <w:r w:rsidRPr="0034148C">
        <w:t>usinesses had received grants</w:t>
      </w:r>
      <w:r w:rsidR="00AC350D" w:rsidRPr="0034148C">
        <w:t xml:space="preserve">. </w:t>
      </w:r>
      <w:r w:rsidR="00CE2F4C">
        <w:t>One business closed in the second year of the project when the owners left the country. The remaining 14 businesses</w:t>
      </w:r>
      <w:r w:rsidR="007A6399">
        <w:t xml:space="preserve"> employed </w:t>
      </w:r>
      <w:r w:rsidR="00AC350D" w:rsidRPr="0034148C">
        <w:t xml:space="preserve">69 IDPs </w:t>
      </w:r>
      <w:r w:rsidR="007A6399">
        <w:t>o</w:t>
      </w:r>
      <w:r w:rsidR="007A6399" w:rsidRPr="0034148C">
        <w:t>ver the course of the project</w:t>
      </w:r>
      <w:r w:rsidR="007A6399">
        <w:t>;</w:t>
      </w:r>
      <w:r w:rsidR="00AC350D" w:rsidRPr="0034148C">
        <w:t xml:space="preserve"> </w:t>
      </w:r>
      <w:r w:rsidR="00FE45B3">
        <w:t>56</w:t>
      </w:r>
      <w:r w:rsidR="00AC350D" w:rsidRPr="0034148C">
        <w:t xml:space="preserve"> of these </w:t>
      </w:r>
      <w:proofErr w:type="gramStart"/>
      <w:r w:rsidR="00AC350D" w:rsidRPr="0034148C">
        <w:t>were still</w:t>
      </w:r>
      <w:r w:rsidRPr="0034148C">
        <w:t xml:space="preserve"> </w:t>
      </w:r>
      <w:r w:rsidR="00667FC7" w:rsidRPr="0034148C">
        <w:t>employed</w:t>
      </w:r>
      <w:proofErr w:type="gramEnd"/>
      <w:r w:rsidR="00667FC7" w:rsidRPr="0034148C">
        <w:t xml:space="preserve"> by the end of the project (Table 4.3.1</w:t>
      </w:r>
      <w:r w:rsidR="00683402" w:rsidRPr="0034148C">
        <w:t>, columns 1-3</w:t>
      </w:r>
      <w:r w:rsidR="00667FC7" w:rsidRPr="0034148C">
        <w:t>).</w:t>
      </w:r>
      <w:r w:rsidR="00AF71DF" w:rsidRPr="0034148C">
        <w:t xml:space="preserve"> </w:t>
      </w:r>
      <w:r w:rsidR="00FE45B3">
        <w:t>Three</w:t>
      </w:r>
      <w:r w:rsidR="00AF71DF" w:rsidRPr="0034148C">
        <w:t xml:space="preserve"> of the businesses had reduced the number of employees by the end of the project period; these were the corn flakes producer, </w:t>
      </w:r>
      <w:r w:rsidR="00FB7FAF" w:rsidRPr="0034148C">
        <w:t>the</w:t>
      </w:r>
      <w:r w:rsidR="00FB7FAF" w:rsidRPr="0034148C">
        <w:rPr>
          <w:sz w:val="24"/>
          <w:szCs w:val="24"/>
        </w:rPr>
        <w:t xml:space="preserve"> </w:t>
      </w:r>
      <w:r w:rsidR="00FB7FAF" w:rsidRPr="0034148C">
        <w:rPr>
          <w:rFonts w:eastAsia="Times New Roman" w:cstheme="minorHAnsi"/>
          <w:lang w:bidi="th-TH"/>
        </w:rPr>
        <w:t>Tkbili Kvekana</w:t>
      </w:r>
      <w:r w:rsidR="00FB7FAF" w:rsidRPr="0034148C">
        <w:t xml:space="preserve"> B</w:t>
      </w:r>
      <w:r w:rsidR="00AF71DF" w:rsidRPr="0034148C">
        <w:t>aker</w:t>
      </w:r>
      <w:r w:rsidR="00FB7FAF" w:rsidRPr="0034148C">
        <w:t>y</w:t>
      </w:r>
      <w:r w:rsidR="00AF71DF" w:rsidRPr="0034148C">
        <w:t xml:space="preserve">, </w:t>
      </w:r>
      <w:r w:rsidR="00FE45B3">
        <w:t xml:space="preserve">and </w:t>
      </w:r>
      <w:r w:rsidR="00FB7FAF" w:rsidRPr="0034148C">
        <w:t>the education center</w:t>
      </w:r>
      <w:r w:rsidR="007F00AC" w:rsidRPr="0034148C">
        <w:t xml:space="preserve"> (</w:t>
      </w:r>
      <w:r w:rsidR="00FB7FAF" w:rsidRPr="0034148C">
        <w:t xml:space="preserve">the latter </w:t>
      </w:r>
      <w:r w:rsidR="00FE45B3">
        <w:t>business</w:t>
      </w:r>
      <w:r w:rsidR="00FB7FAF" w:rsidRPr="0034148C">
        <w:t xml:space="preserve"> </w:t>
      </w:r>
      <w:r w:rsidR="007F00AC" w:rsidRPr="0034148C">
        <w:t xml:space="preserve">had no IDP employees at the end of the period). </w:t>
      </w:r>
      <w:proofErr w:type="gramStart"/>
      <w:r w:rsidR="004D0C87" w:rsidRPr="0034148C">
        <w:t>Thus</w:t>
      </w:r>
      <w:proofErr w:type="gramEnd"/>
      <w:r w:rsidR="004D0C87" w:rsidRPr="0034148C">
        <w:t xml:space="preserve"> the program </w:t>
      </w:r>
      <w:r w:rsidR="00FE45B3">
        <w:t xml:space="preserve">met </w:t>
      </w:r>
      <w:r w:rsidR="004D0C87" w:rsidRPr="0034148C">
        <w:t>its target of making grants to 15 businesses</w:t>
      </w:r>
      <w:r w:rsidR="00FE45B3">
        <w:t xml:space="preserve"> and </w:t>
      </w:r>
      <w:r w:rsidR="004D0C87" w:rsidRPr="0034148C">
        <w:t>far exceeded the target of 35 IDP employees.</w:t>
      </w:r>
      <w:r w:rsidR="00683402" w:rsidRPr="0034148C">
        <w:t xml:space="preserve"> The businesses employed IDPs for </w:t>
      </w:r>
      <w:proofErr w:type="gramStart"/>
      <w:r w:rsidR="00683402" w:rsidRPr="0034148C">
        <w:t>a total of 6</w:t>
      </w:r>
      <w:r w:rsidR="00FE45B3">
        <w:t>61</w:t>
      </w:r>
      <w:proofErr w:type="gramEnd"/>
      <w:r w:rsidR="00683402" w:rsidRPr="0034148C">
        <w:t xml:space="preserve"> person-months (column 4).</w:t>
      </w:r>
    </w:p>
    <w:p w:rsidR="00D91F9C" w:rsidRPr="0034148C" w:rsidRDefault="00D91F9C" w:rsidP="00D91F9C">
      <w:r w:rsidRPr="0034148C">
        <w:t>Monthly salaries for the employees ranged from $</w:t>
      </w:r>
      <w:r w:rsidR="001B30B4">
        <w:t>3</w:t>
      </w:r>
      <w:r w:rsidRPr="0034148C">
        <w:t>0 per month to $</w:t>
      </w:r>
      <w:r w:rsidR="001B30B4">
        <w:t>18</w:t>
      </w:r>
      <w:r w:rsidRPr="0034148C">
        <w:t xml:space="preserve">0 per month. In column 5 of Table 4.3.1, the average monthly salary earned by the IDP employees for each business </w:t>
      </w:r>
      <w:proofErr w:type="gramStart"/>
      <w:r w:rsidRPr="0034148C">
        <w:t>is shown</w:t>
      </w:r>
      <w:proofErr w:type="gramEnd"/>
      <w:r w:rsidRPr="0034148C">
        <w:t>. The overall average monthly salary was $</w:t>
      </w:r>
      <w:r w:rsidR="00DF392E">
        <w:t>84</w:t>
      </w:r>
      <w:r w:rsidRPr="0034148C">
        <w:t xml:space="preserve">; the </w:t>
      </w:r>
      <w:r w:rsidRPr="0034148C">
        <w:rPr>
          <w:rFonts w:eastAsia="Times New Roman" w:cstheme="minorHAnsi"/>
          <w:lang w:bidi="th-TH"/>
        </w:rPr>
        <w:t>Tkbili Kvekana</w:t>
      </w:r>
      <w:r w:rsidRPr="0034148C">
        <w:t xml:space="preserve"> Bakery had the lowest average salaries and the chicken slaughterhouse had the highest. While its salaries were low, the </w:t>
      </w:r>
      <w:r w:rsidRPr="0034148C">
        <w:rPr>
          <w:rFonts w:eastAsia="Times New Roman" w:cstheme="minorHAnsi"/>
          <w:lang w:bidi="th-TH"/>
        </w:rPr>
        <w:t>Tkbili Kvekana</w:t>
      </w:r>
      <w:r w:rsidRPr="0034148C">
        <w:t xml:space="preserve"> Bakery provided the greatest number of person-months of employment for the program.</w:t>
      </w:r>
    </w:p>
    <w:p w:rsidR="00D91F9C" w:rsidRPr="0034148C" w:rsidRDefault="00D91F9C" w:rsidP="00FB7FAF">
      <w:pPr>
        <w:rPr>
          <w:lang w:bidi="th-TH"/>
        </w:rPr>
      </w:pPr>
    </w:p>
    <w:p w:rsidR="00830E6D" w:rsidRDefault="00830E6D">
      <w:pPr>
        <w:spacing w:after="200"/>
        <w:jc w:val="left"/>
        <w:rPr>
          <w:rFonts w:eastAsiaTheme="majorEastAsia" w:cs="Angsana New"/>
          <w:b/>
          <w:bCs/>
          <w:iCs/>
        </w:rPr>
      </w:pPr>
      <w:bookmarkStart w:id="202" w:name="_Toc338572017"/>
      <w:bookmarkStart w:id="203" w:name="_Toc338717198"/>
      <w:r>
        <w:br w:type="page"/>
      </w:r>
    </w:p>
    <w:p w:rsidR="00043B3F" w:rsidRPr="0034148C" w:rsidRDefault="00C72459" w:rsidP="00C72459">
      <w:pPr>
        <w:pStyle w:val="Heading4"/>
      </w:pPr>
      <w:bookmarkStart w:id="204" w:name="_Toc338750270"/>
      <w:bookmarkStart w:id="205" w:name="_Toc339368882"/>
      <w:r w:rsidRPr="0034148C">
        <w:lastRenderedPageBreak/>
        <w:t>Table 4.3.1: Number of IDP employees at Grants-for-Jobs enterprises</w:t>
      </w:r>
      <w:bookmarkEnd w:id="202"/>
      <w:bookmarkEnd w:id="203"/>
      <w:bookmarkEnd w:id="204"/>
      <w:bookmarkEnd w:id="20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768"/>
        <w:gridCol w:w="1130"/>
        <w:gridCol w:w="1148"/>
        <w:gridCol w:w="1030"/>
        <w:gridCol w:w="968"/>
        <w:gridCol w:w="984"/>
      </w:tblGrid>
      <w:tr w:rsidR="004A005D" w:rsidRPr="0034148C" w:rsidTr="00AF71DF">
        <w:trPr>
          <w:trHeight w:val="264"/>
        </w:trPr>
        <w:tc>
          <w:tcPr>
            <w:tcW w:w="548" w:type="dxa"/>
            <w:shd w:val="clear" w:color="auto" w:fill="auto"/>
            <w:noWrap/>
            <w:vAlign w:val="bottom"/>
            <w:hideMark/>
          </w:tcPr>
          <w:p w:rsidR="004A005D" w:rsidRPr="0034148C" w:rsidRDefault="004A005D"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No.</w:t>
            </w:r>
          </w:p>
        </w:tc>
        <w:tc>
          <w:tcPr>
            <w:tcW w:w="3768" w:type="dxa"/>
            <w:shd w:val="clear" w:color="auto" w:fill="auto"/>
            <w:vAlign w:val="center"/>
            <w:hideMark/>
          </w:tcPr>
          <w:p w:rsidR="004A005D" w:rsidRPr="0034148C" w:rsidRDefault="004A005D"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Type of enterprise</w:t>
            </w:r>
          </w:p>
        </w:tc>
        <w:tc>
          <w:tcPr>
            <w:tcW w:w="1130" w:type="dxa"/>
          </w:tcPr>
          <w:p w:rsidR="00683402" w:rsidRPr="0034148C" w:rsidRDefault="00683402"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(1)</w:t>
            </w:r>
          </w:p>
          <w:p w:rsidR="004A005D" w:rsidRPr="0034148C" w:rsidRDefault="004A005D"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Total number of people employed over project period</w:t>
            </w:r>
          </w:p>
        </w:tc>
        <w:tc>
          <w:tcPr>
            <w:tcW w:w="1148" w:type="dxa"/>
          </w:tcPr>
          <w:p w:rsidR="00683402" w:rsidRPr="0034148C" w:rsidRDefault="00683402"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(2)</w:t>
            </w:r>
          </w:p>
          <w:p w:rsidR="004A005D" w:rsidRPr="0034148C" w:rsidRDefault="004A005D"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Maximum number employed at one time</w:t>
            </w:r>
          </w:p>
        </w:tc>
        <w:tc>
          <w:tcPr>
            <w:tcW w:w="1030" w:type="dxa"/>
          </w:tcPr>
          <w:p w:rsidR="00683402" w:rsidRPr="0034148C" w:rsidRDefault="00683402"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(3)</w:t>
            </w:r>
          </w:p>
          <w:p w:rsidR="004A005D" w:rsidRPr="0034148C" w:rsidRDefault="004A005D"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Number at end of project period</w:t>
            </w:r>
          </w:p>
        </w:tc>
        <w:tc>
          <w:tcPr>
            <w:tcW w:w="968" w:type="dxa"/>
          </w:tcPr>
          <w:p w:rsidR="00683402" w:rsidRPr="0034148C" w:rsidRDefault="00683402"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(4)</w:t>
            </w:r>
          </w:p>
          <w:p w:rsidR="004A005D" w:rsidRPr="0034148C" w:rsidRDefault="00AF71DF"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Person-months of employ-</w:t>
            </w:r>
            <w:proofErr w:type="spellStart"/>
            <w:r w:rsidRPr="0034148C">
              <w:rPr>
                <w:rFonts w:asciiTheme="minorHAnsi" w:eastAsia="Times New Roman" w:hAnsiTheme="minorHAnsi" w:cstheme="minorHAnsi"/>
                <w:b/>
                <w:bCs/>
                <w:sz w:val="20"/>
                <w:szCs w:val="20"/>
                <w:lang w:bidi="th-TH"/>
              </w:rPr>
              <w:t>ment</w:t>
            </w:r>
            <w:proofErr w:type="spellEnd"/>
          </w:p>
        </w:tc>
        <w:tc>
          <w:tcPr>
            <w:tcW w:w="984" w:type="dxa"/>
          </w:tcPr>
          <w:p w:rsidR="00683402" w:rsidRPr="0034148C" w:rsidRDefault="00683402"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(5)</w:t>
            </w:r>
          </w:p>
          <w:p w:rsidR="004A005D" w:rsidRPr="0034148C" w:rsidRDefault="00AF71DF"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Average monthly salary</w:t>
            </w:r>
          </w:p>
          <w:p w:rsidR="00AF71DF" w:rsidRPr="0034148C" w:rsidRDefault="00AF71DF" w:rsidP="00AF71DF">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w:t>
            </w:r>
            <w:r w:rsidR="00BA5DC5" w:rsidRPr="0034148C">
              <w:rPr>
                <w:rFonts w:asciiTheme="minorHAnsi" w:eastAsia="Times New Roman" w:hAnsiTheme="minorHAnsi" w:cstheme="minorHAnsi"/>
                <w:b/>
                <w:bCs/>
                <w:sz w:val="20"/>
                <w:szCs w:val="20"/>
                <w:lang w:bidi="th-TH"/>
              </w:rPr>
              <w:t>USD</w:t>
            </w:r>
            <w:r w:rsidRPr="0034148C">
              <w:rPr>
                <w:rFonts w:asciiTheme="minorHAnsi" w:eastAsia="Times New Roman" w:hAnsiTheme="minorHAnsi" w:cstheme="minorHAnsi"/>
                <w:b/>
                <w:bCs/>
                <w:sz w:val="20"/>
                <w:szCs w:val="20"/>
                <w:lang w:bidi="th-TH"/>
              </w:rPr>
              <w:t>)</w:t>
            </w:r>
          </w:p>
        </w:tc>
      </w:tr>
      <w:tr w:rsidR="001B30B4" w:rsidRPr="0034148C" w:rsidTr="00AF71DF">
        <w:trPr>
          <w:trHeight w:val="264"/>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Carving on Wooden Materials</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2</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36</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93</w:t>
            </w:r>
          </w:p>
        </w:tc>
      </w:tr>
      <w:tr w:rsidR="001B30B4" w:rsidRPr="0034148C" w:rsidTr="00AF71DF">
        <w:trPr>
          <w:trHeight w:val="264"/>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 xml:space="preserve">Production of soft drinks </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3</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27</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60</w:t>
            </w:r>
          </w:p>
        </w:tc>
      </w:tr>
      <w:tr w:rsidR="001B30B4" w:rsidRPr="0034148C" w:rsidTr="00AF71DF">
        <w:trPr>
          <w:trHeight w:val="264"/>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Savali Bakery</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7</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7</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7</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126</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86</w:t>
            </w:r>
          </w:p>
        </w:tc>
      </w:tr>
      <w:tr w:rsidR="001B30B4" w:rsidRPr="0034148C" w:rsidTr="00AF71DF">
        <w:trPr>
          <w:trHeight w:val="264"/>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4</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Greenhouse</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2</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24</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120</w:t>
            </w:r>
          </w:p>
        </w:tc>
      </w:tr>
      <w:tr w:rsidR="001B30B4" w:rsidRPr="0034148C" w:rsidTr="00AF71DF">
        <w:trPr>
          <w:trHeight w:val="264"/>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5</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Production of Corn Flakes</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4</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4</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28</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82</w:t>
            </w:r>
          </w:p>
        </w:tc>
      </w:tr>
      <w:tr w:rsidR="001B30B4" w:rsidRPr="0034148C" w:rsidTr="00AF71DF">
        <w:trPr>
          <w:trHeight w:val="264"/>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6</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Tkbili Kvekana Bakery</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12</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12</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6</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132</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38</w:t>
            </w:r>
          </w:p>
        </w:tc>
      </w:tr>
      <w:tr w:rsidR="001B30B4" w:rsidRPr="0034148C" w:rsidTr="00AF71DF">
        <w:trPr>
          <w:trHeight w:val="264"/>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7</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Education center</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5</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0</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9</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37</w:t>
            </w:r>
          </w:p>
        </w:tc>
      </w:tr>
      <w:tr w:rsidR="001B30B4" w:rsidRPr="0034148C" w:rsidTr="00AF71DF">
        <w:trPr>
          <w:trHeight w:val="288"/>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8</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Metal-plastic goods production</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3</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24</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105</w:t>
            </w:r>
          </w:p>
        </w:tc>
      </w:tr>
      <w:tr w:rsidR="001B30B4" w:rsidRPr="0034148C" w:rsidTr="00AF71DF">
        <w:trPr>
          <w:trHeight w:val="288"/>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9</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Trout farm</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3</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42</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44</w:t>
            </w:r>
          </w:p>
        </w:tc>
      </w:tr>
      <w:tr w:rsidR="001B30B4" w:rsidRPr="0034148C" w:rsidTr="00AF71DF">
        <w:trPr>
          <w:trHeight w:val="288"/>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10</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Plastic goods production</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8</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8</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Pr>
                <w:rFonts w:asciiTheme="minorHAnsi" w:eastAsia="Times New Roman" w:hAnsiTheme="minorHAnsi" w:cstheme="minorHAnsi"/>
                <w:sz w:val="20"/>
                <w:szCs w:val="20"/>
                <w:lang w:bidi="th-TH"/>
              </w:rPr>
              <w:t>8</w:t>
            </w:r>
          </w:p>
        </w:tc>
        <w:tc>
          <w:tcPr>
            <w:tcW w:w="968" w:type="dxa"/>
            <w:vAlign w:val="bottom"/>
          </w:tcPr>
          <w:p w:rsidR="001B30B4" w:rsidRPr="0034148C" w:rsidRDefault="001B30B4" w:rsidP="00206AEC">
            <w:pPr>
              <w:spacing w:after="0" w:line="240" w:lineRule="auto"/>
              <w:jc w:val="right"/>
              <w:rPr>
                <w:rFonts w:asciiTheme="minorHAnsi" w:hAnsiTheme="minorHAnsi" w:cstheme="minorHAnsi"/>
                <w:sz w:val="20"/>
                <w:szCs w:val="20"/>
              </w:rPr>
            </w:pPr>
            <w:r>
              <w:rPr>
                <w:rFonts w:asciiTheme="minorHAnsi" w:hAnsiTheme="minorHAnsi" w:cstheme="minorHAnsi"/>
                <w:sz w:val="20"/>
                <w:szCs w:val="20"/>
              </w:rPr>
              <w:t>10</w:t>
            </w:r>
            <w:r w:rsidR="00206AEC">
              <w:rPr>
                <w:rFonts w:asciiTheme="minorHAnsi" w:hAnsiTheme="minorHAnsi" w:cstheme="minorHAnsi"/>
                <w:sz w:val="20"/>
                <w:szCs w:val="20"/>
              </w:rPr>
              <w:t>1</w:t>
            </w:r>
          </w:p>
        </w:tc>
        <w:tc>
          <w:tcPr>
            <w:tcW w:w="984" w:type="dxa"/>
            <w:vAlign w:val="bottom"/>
          </w:tcPr>
          <w:p w:rsidR="001B30B4" w:rsidRPr="001B30B4" w:rsidRDefault="001B30B4" w:rsidP="00206AEC">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1</w:t>
            </w:r>
            <w:r w:rsidR="00206AEC">
              <w:rPr>
                <w:rFonts w:ascii="Calibri" w:hAnsi="Calibri" w:cs="Calibri"/>
                <w:color w:val="000000"/>
                <w:sz w:val="20"/>
                <w:szCs w:val="20"/>
              </w:rPr>
              <w:t>9</w:t>
            </w:r>
            <w:r w:rsidRPr="001B30B4">
              <w:rPr>
                <w:rFonts w:ascii="Calibri" w:hAnsi="Calibri" w:cs="Calibri"/>
                <w:color w:val="000000"/>
                <w:sz w:val="20"/>
                <w:szCs w:val="20"/>
              </w:rPr>
              <w:t>7</w:t>
            </w:r>
          </w:p>
        </w:tc>
      </w:tr>
      <w:tr w:rsidR="001B30B4" w:rsidRPr="0034148C" w:rsidTr="00AF71DF">
        <w:trPr>
          <w:trHeight w:val="288"/>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11</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Grocery shop</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2</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12</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63</w:t>
            </w:r>
          </w:p>
        </w:tc>
      </w:tr>
      <w:tr w:rsidR="001B30B4" w:rsidRPr="0034148C" w:rsidTr="00AF71DF">
        <w:trPr>
          <w:trHeight w:val="288"/>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12</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Chicken slaughterhouse</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14</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14</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14</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84</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155</w:t>
            </w:r>
          </w:p>
        </w:tc>
      </w:tr>
      <w:tr w:rsidR="001B30B4" w:rsidRPr="0034148C" w:rsidTr="00AF71DF">
        <w:trPr>
          <w:trHeight w:val="288"/>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13</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Chicken incubator</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2</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6</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60</w:t>
            </w:r>
          </w:p>
        </w:tc>
      </w:tr>
      <w:tr w:rsidR="001B30B4" w:rsidRPr="0034148C" w:rsidTr="00AF71DF">
        <w:trPr>
          <w:trHeight w:val="288"/>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14</w:t>
            </w: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Farmers' service center</w:t>
            </w:r>
          </w:p>
        </w:tc>
        <w:tc>
          <w:tcPr>
            <w:tcW w:w="1130"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2</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968" w:type="dxa"/>
            <w:vAlign w:val="bottom"/>
          </w:tcPr>
          <w:p w:rsidR="001B30B4" w:rsidRPr="0034148C" w:rsidRDefault="001B30B4" w:rsidP="00AF71DF">
            <w:pPr>
              <w:spacing w:after="0" w:line="240" w:lineRule="auto"/>
              <w:jc w:val="right"/>
              <w:rPr>
                <w:rFonts w:asciiTheme="minorHAnsi" w:hAnsiTheme="minorHAnsi" w:cstheme="minorHAnsi"/>
                <w:sz w:val="20"/>
                <w:szCs w:val="20"/>
              </w:rPr>
            </w:pPr>
            <w:r w:rsidRPr="0034148C">
              <w:rPr>
                <w:rFonts w:asciiTheme="minorHAnsi" w:hAnsiTheme="minorHAnsi" w:cstheme="minorHAnsi"/>
                <w:sz w:val="20"/>
                <w:szCs w:val="20"/>
              </w:rPr>
              <w:t>2</w:t>
            </w:r>
          </w:p>
        </w:tc>
        <w:tc>
          <w:tcPr>
            <w:tcW w:w="984" w:type="dxa"/>
            <w:vAlign w:val="bottom"/>
          </w:tcPr>
          <w:p w:rsidR="001B30B4" w:rsidRPr="001B30B4" w:rsidRDefault="001B30B4" w:rsidP="001B30B4">
            <w:pPr>
              <w:spacing w:after="0" w:line="240" w:lineRule="auto"/>
              <w:jc w:val="right"/>
              <w:rPr>
                <w:rFonts w:ascii="Calibri" w:hAnsi="Calibri" w:cs="Calibri"/>
                <w:color w:val="000000"/>
                <w:sz w:val="20"/>
                <w:szCs w:val="20"/>
              </w:rPr>
            </w:pPr>
            <w:r>
              <w:rPr>
                <w:rFonts w:ascii="Calibri" w:hAnsi="Calibri" w:cs="Calibri"/>
                <w:color w:val="000000"/>
                <w:sz w:val="20"/>
                <w:szCs w:val="20"/>
              </w:rPr>
              <w:t>$</w:t>
            </w:r>
            <w:r w:rsidRPr="001B30B4">
              <w:rPr>
                <w:rFonts w:ascii="Calibri" w:hAnsi="Calibri" w:cs="Calibri"/>
                <w:color w:val="000000"/>
                <w:sz w:val="20"/>
                <w:szCs w:val="20"/>
              </w:rPr>
              <w:t>75</w:t>
            </w:r>
          </w:p>
        </w:tc>
      </w:tr>
      <w:tr w:rsidR="001B30B4" w:rsidRPr="0034148C" w:rsidTr="00AF71DF">
        <w:trPr>
          <w:trHeight w:val="288"/>
        </w:trPr>
        <w:tc>
          <w:tcPr>
            <w:tcW w:w="548" w:type="dxa"/>
            <w:shd w:val="clear" w:color="auto" w:fill="auto"/>
            <w:noWrap/>
            <w:vAlign w:val="bottom"/>
            <w:hideMark/>
          </w:tcPr>
          <w:p w:rsidR="001B30B4" w:rsidRPr="0034148C" w:rsidRDefault="001B30B4" w:rsidP="00AF71DF">
            <w:pPr>
              <w:spacing w:after="0" w:line="240" w:lineRule="auto"/>
              <w:jc w:val="center"/>
              <w:rPr>
                <w:rFonts w:asciiTheme="minorHAnsi" w:eastAsia="Times New Roman" w:hAnsiTheme="minorHAnsi" w:cstheme="minorHAnsi"/>
                <w:sz w:val="20"/>
                <w:szCs w:val="20"/>
                <w:lang w:bidi="th-TH"/>
              </w:rPr>
            </w:pPr>
          </w:p>
        </w:tc>
        <w:tc>
          <w:tcPr>
            <w:tcW w:w="3768" w:type="dxa"/>
            <w:shd w:val="clear" w:color="auto" w:fill="auto"/>
            <w:vAlign w:val="center"/>
            <w:hideMark/>
          </w:tcPr>
          <w:p w:rsidR="001B30B4" w:rsidRPr="0034148C" w:rsidRDefault="001B30B4" w:rsidP="00AF71DF">
            <w:pPr>
              <w:spacing w:after="0" w:line="240" w:lineRule="auto"/>
              <w:jc w:val="left"/>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Total</w:t>
            </w:r>
          </w:p>
        </w:tc>
        <w:tc>
          <w:tcPr>
            <w:tcW w:w="1130" w:type="dxa"/>
            <w:vAlign w:val="bottom"/>
          </w:tcPr>
          <w:p w:rsidR="001B30B4" w:rsidRPr="0034148C" w:rsidRDefault="001B30B4" w:rsidP="00AF71DF">
            <w:pPr>
              <w:spacing w:after="0" w:line="240" w:lineRule="auto"/>
              <w:jc w:val="right"/>
              <w:rPr>
                <w:rFonts w:asciiTheme="minorHAnsi" w:hAnsiTheme="minorHAnsi" w:cstheme="minorHAnsi"/>
                <w:b/>
                <w:bCs/>
                <w:sz w:val="20"/>
                <w:szCs w:val="20"/>
              </w:rPr>
            </w:pPr>
            <w:r w:rsidRPr="0034148C">
              <w:rPr>
                <w:rFonts w:asciiTheme="minorHAnsi" w:hAnsiTheme="minorHAnsi" w:cstheme="minorHAnsi"/>
                <w:b/>
                <w:bCs/>
                <w:sz w:val="20"/>
                <w:szCs w:val="20"/>
              </w:rPr>
              <w:t>69</w:t>
            </w:r>
          </w:p>
        </w:tc>
        <w:tc>
          <w:tcPr>
            <w:tcW w:w="1148" w:type="dxa"/>
            <w:vAlign w:val="bottom"/>
          </w:tcPr>
          <w:p w:rsidR="001B30B4" w:rsidRPr="0034148C" w:rsidRDefault="001B30B4" w:rsidP="00AF71DF">
            <w:pPr>
              <w:spacing w:after="0" w:line="240" w:lineRule="auto"/>
              <w:jc w:val="right"/>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67</w:t>
            </w:r>
          </w:p>
        </w:tc>
        <w:tc>
          <w:tcPr>
            <w:tcW w:w="1030" w:type="dxa"/>
            <w:vAlign w:val="bottom"/>
          </w:tcPr>
          <w:p w:rsidR="001B30B4" w:rsidRPr="0034148C" w:rsidRDefault="001B30B4" w:rsidP="00AF71DF">
            <w:pPr>
              <w:spacing w:after="0" w:line="240" w:lineRule="auto"/>
              <w:jc w:val="right"/>
              <w:rPr>
                <w:rFonts w:asciiTheme="minorHAnsi" w:eastAsia="Times New Roman" w:hAnsiTheme="minorHAnsi" w:cstheme="minorHAnsi"/>
                <w:b/>
                <w:bCs/>
                <w:sz w:val="20"/>
                <w:szCs w:val="20"/>
                <w:lang w:bidi="th-TH"/>
              </w:rPr>
            </w:pPr>
            <w:r>
              <w:rPr>
                <w:rFonts w:asciiTheme="minorHAnsi" w:eastAsia="Times New Roman" w:hAnsiTheme="minorHAnsi" w:cstheme="minorHAnsi"/>
                <w:b/>
                <w:bCs/>
                <w:sz w:val="20"/>
                <w:szCs w:val="20"/>
                <w:lang w:bidi="th-TH"/>
              </w:rPr>
              <w:t>56</w:t>
            </w:r>
          </w:p>
        </w:tc>
        <w:tc>
          <w:tcPr>
            <w:tcW w:w="968" w:type="dxa"/>
            <w:vAlign w:val="bottom"/>
          </w:tcPr>
          <w:p w:rsidR="001B30B4" w:rsidRPr="0034148C" w:rsidRDefault="001B30B4" w:rsidP="00AF71DF">
            <w:pPr>
              <w:spacing w:after="0" w:line="240" w:lineRule="auto"/>
              <w:jc w:val="right"/>
              <w:rPr>
                <w:rFonts w:asciiTheme="minorHAnsi" w:hAnsiTheme="minorHAnsi" w:cstheme="minorHAnsi"/>
                <w:b/>
                <w:bCs/>
                <w:sz w:val="20"/>
                <w:szCs w:val="20"/>
              </w:rPr>
            </w:pPr>
            <w:r>
              <w:rPr>
                <w:rFonts w:asciiTheme="minorHAnsi" w:hAnsiTheme="minorHAnsi" w:cstheme="minorHAnsi"/>
                <w:b/>
                <w:bCs/>
                <w:sz w:val="20"/>
                <w:szCs w:val="20"/>
              </w:rPr>
              <w:t>661</w:t>
            </w:r>
          </w:p>
        </w:tc>
        <w:tc>
          <w:tcPr>
            <w:tcW w:w="984" w:type="dxa"/>
            <w:vAlign w:val="bottom"/>
          </w:tcPr>
          <w:p w:rsidR="001B30B4" w:rsidRPr="001B30B4" w:rsidRDefault="001B30B4" w:rsidP="001B30B4">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w:t>
            </w:r>
            <w:r w:rsidRPr="001B30B4">
              <w:rPr>
                <w:rFonts w:ascii="Calibri" w:hAnsi="Calibri" w:cs="Calibri"/>
                <w:b/>
                <w:bCs/>
                <w:color w:val="000000"/>
                <w:sz w:val="20"/>
                <w:szCs w:val="20"/>
              </w:rPr>
              <w:t>84</w:t>
            </w:r>
          </w:p>
        </w:tc>
      </w:tr>
    </w:tbl>
    <w:p w:rsidR="004D0C87" w:rsidRPr="0034148C" w:rsidRDefault="0023518C" w:rsidP="0023518C">
      <w:pPr>
        <w:pStyle w:val="Figurenote"/>
      </w:pPr>
      <w:r w:rsidRPr="0034148C">
        <w:t>Source: Project monitoring database</w:t>
      </w:r>
    </w:p>
    <w:p w:rsidR="0023518C" w:rsidRPr="0034148C" w:rsidRDefault="0023518C" w:rsidP="0023518C">
      <w:pPr>
        <w:pStyle w:val="Figurenote"/>
      </w:pPr>
    </w:p>
    <w:p w:rsidR="00CA553C" w:rsidRPr="0034148C" w:rsidRDefault="00CA553C" w:rsidP="00043B3F">
      <w:r w:rsidRPr="0034148C">
        <w:t xml:space="preserve">The three site visits painted a somewhat mixed picture of the grants-for-jobs program. The metal and plastics factory owners were extremely pleased with the grant that they </w:t>
      </w:r>
      <w:proofErr w:type="gramStart"/>
      <w:r w:rsidRPr="0034148C">
        <w:t>got</w:t>
      </w:r>
      <w:proofErr w:type="gramEnd"/>
      <w:r w:rsidRPr="0034148C">
        <w:t xml:space="preserve"> to expand their business and with their IDP employees. This is a small business where the employees and owners work in close quarters; they eat together and the owners indicate that the employees have become like family. The owners said that they chose employees based on need; for example, they hired the older IDP workers over younger ones who had the ability to migrate to Turkey for employment. </w:t>
      </w:r>
      <w:r w:rsidR="00B37891" w:rsidRPr="0034148C">
        <w:t xml:space="preserve">During the training </w:t>
      </w:r>
      <w:proofErr w:type="gramStart"/>
      <w:r w:rsidR="00B37891" w:rsidRPr="0034148C">
        <w:t>period</w:t>
      </w:r>
      <w:proofErr w:type="gramEnd"/>
      <w:r w:rsidR="00B37891" w:rsidRPr="0034148C">
        <w:t xml:space="preserve"> the trainees were paid a low wage, but as their skills grew their salaries were raised. </w:t>
      </w:r>
      <w:r w:rsidRPr="0034148C">
        <w:t xml:space="preserve">The employees also </w:t>
      </w:r>
      <w:r w:rsidR="00B37891" w:rsidRPr="0034148C">
        <w:t xml:space="preserve">said that they </w:t>
      </w:r>
      <w:r w:rsidRPr="0034148C">
        <w:t xml:space="preserve">were very pleased to have employment and to have learned a skill. </w:t>
      </w:r>
      <w:r w:rsidR="00197C69" w:rsidRPr="0034148C">
        <w:t xml:space="preserve">Owners were sure that they wanted to keep the IDP employees, but faced some uncertainty because they </w:t>
      </w:r>
      <w:proofErr w:type="gramStart"/>
      <w:r w:rsidR="00197C69" w:rsidRPr="0034148C">
        <w:t>were being forced</w:t>
      </w:r>
      <w:proofErr w:type="gramEnd"/>
      <w:r w:rsidR="00197C69" w:rsidRPr="0034148C">
        <w:t xml:space="preserve"> to move to another location due to a government office opening at their location. At the same time, demand for their products is high and they would like to expand further.</w:t>
      </w:r>
    </w:p>
    <w:p w:rsidR="001E7130" w:rsidRPr="0034148C" w:rsidRDefault="00197C69" w:rsidP="00043B3F">
      <w:r w:rsidRPr="0034148C">
        <w:t xml:space="preserve">The trout farm </w:t>
      </w:r>
      <w:r w:rsidR="00B37891" w:rsidRPr="0034148C">
        <w:t xml:space="preserve">already </w:t>
      </w:r>
      <w:r w:rsidRPr="0034148C">
        <w:t xml:space="preserve">employed two IDPs, at a </w:t>
      </w:r>
      <w:proofErr w:type="gramStart"/>
      <w:r w:rsidRPr="0034148C">
        <w:t>fairly low</w:t>
      </w:r>
      <w:proofErr w:type="gramEnd"/>
      <w:r w:rsidRPr="0034148C">
        <w:t xml:space="preserve"> wage</w:t>
      </w:r>
      <w:r w:rsidR="00B37891" w:rsidRPr="0034148C">
        <w:t xml:space="preserve">, when they received the CARE grant; they then hired one </w:t>
      </w:r>
      <w:r w:rsidR="007D32FD" w:rsidRPr="0034148C">
        <w:t>additional</w:t>
      </w:r>
      <w:r w:rsidR="00B37891" w:rsidRPr="0034148C">
        <w:t xml:space="preserve"> IDP employee</w:t>
      </w:r>
      <w:r w:rsidRPr="0034148C">
        <w:t xml:space="preserve">. </w:t>
      </w:r>
      <w:r w:rsidR="00B37891" w:rsidRPr="0034148C">
        <w:t xml:space="preserve">Employees learned on the job how to care for the fish, but there was no specific training period or raise in salary. However, the employees did get bonuses and free fish. </w:t>
      </w:r>
      <w:r w:rsidR="00F94294" w:rsidRPr="0034148C">
        <w:t xml:space="preserve">The owner was very pleased with the employees and said he would continue to employ them, but mentioned that the market situation was not favorable at this time and there was a lot of competition in fish production, so the price was dropping. He had a bank </w:t>
      </w:r>
      <w:r w:rsidR="00F94294" w:rsidRPr="0034148C">
        <w:lastRenderedPageBreak/>
        <w:t xml:space="preserve">loan to pay off which was difficult to do. </w:t>
      </w:r>
      <w:proofErr w:type="gramStart"/>
      <w:r w:rsidR="00F94294" w:rsidRPr="0034148C">
        <w:t>Nevertheless</w:t>
      </w:r>
      <w:proofErr w:type="gramEnd"/>
      <w:r w:rsidR="00F94294" w:rsidRPr="0034148C">
        <w:t xml:space="preserve"> the owner was very positive about the program and felt it was a good way to help the IDPs by enabling them to help themselves. With </w:t>
      </w:r>
      <w:proofErr w:type="gramStart"/>
      <w:r w:rsidR="00F94294" w:rsidRPr="0034148C">
        <w:t>employment</w:t>
      </w:r>
      <w:proofErr w:type="gramEnd"/>
      <w:r w:rsidR="00F94294" w:rsidRPr="0034148C">
        <w:t xml:space="preserve"> they were able to contribute money to the community through </w:t>
      </w:r>
      <w:r w:rsidR="007D32FD" w:rsidRPr="0034148C">
        <w:t>consumption</w:t>
      </w:r>
      <w:r w:rsidR="00F94294" w:rsidRPr="0034148C">
        <w:t xml:space="preserve"> and paying taxes, rather than living on </w:t>
      </w:r>
      <w:r w:rsidR="001E7130" w:rsidRPr="0034148C">
        <w:t xml:space="preserve">government aid. Employees at this enterprise, while </w:t>
      </w:r>
      <w:r w:rsidR="007D32FD" w:rsidRPr="0034148C">
        <w:t>acknowledging</w:t>
      </w:r>
      <w:r w:rsidR="001E7130" w:rsidRPr="0034148C">
        <w:t xml:space="preserve"> that their salary was low, said that they understood the nature of the business. It </w:t>
      </w:r>
      <w:proofErr w:type="gramStart"/>
      <w:r w:rsidR="001E7130" w:rsidRPr="0034148C">
        <w:t>should be noted</w:t>
      </w:r>
      <w:proofErr w:type="gramEnd"/>
      <w:r w:rsidR="001E7130" w:rsidRPr="0034148C">
        <w:t xml:space="preserve"> that these employees did not have agricultural land as they lived in the town.</w:t>
      </w:r>
    </w:p>
    <w:p w:rsidR="00197C69" w:rsidRPr="0034148C" w:rsidRDefault="001E7130" w:rsidP="00043B3F">
      <w:r w:rsidRPr="0034148C">
        <w:t xml:space="preserve">The third business visited was a </w:t>
      </w:r>
      <w:proofErr w:type="gramStart"/>
      <w:r w:rsidRPr="0034148C">
        <w:t>greenhouse which</w:t>
      </w:r>
      <w:proofErr w:type="gramEnd"/>
      <w:r w:rsidRPr="0034148C">
        <w:t xml:space="preserve"> was built with the CARE grant money. The owner employed </w:t>
      </w:r>
      <w:r w:rsidR="009D73B5" w:rsidRPr="0034148C">
        <w:t xml:space="preserve">two IDPs permanently </w:t>
      </w:r>
      <w:proofErr w:type="gramStart"/>
      <w:r w:rsidR="009D73B5" w:rsidRPr="0034148C">
        <w:t>and also</w:t>
      </w:r>
      <w:proofErr w:type="gramEnd"/>
      <w:r w:rsidR="009D73B5" w:rsidRPr="0034148C">
        <w:t xml:space="preserve"> hired workers on a daily basis when he had work for them. The greenhouse owner was still learning the business himself but was also training the IDPs; the business had yet to make a profit but planned to keep the employees as they </w:t>
      </w:r>
      <w:proofErr w:type="gramStart"/>
      <w:r w:rsidR="009D73B5" w:rsidRPr="0034148C">
        <w:t>were needed</w:t>
      </w:r>
      <w:proofErr w:type="gramEnd"/>
      <w:r w:rsidR="009D73B5" w:rsidRPr="0034148C">
        <w:t xml:space="preserve"> to get the business going. The employees were somewhat equivocal about the job; they said it was better than being unemployed, but would have preferred to work their own land as they did before displacement</w:t>
      </w:r>
      <w:r w:rsidR="00C11B73" w:rsidRPr="0034148C">
        <w:t xml:space="preserve">. These employees did not feel that the job really helped with their integration into the community, as they felt they </w:t>
      </w:r>
      <w:proofErr w:type="gramStart"/>
      <w:r w:rsidR="00C11B73" w:rsidRPr="0034148C">
        <w:t>were already integrated</w:t>
      </w:r>
      <w:proofErr w:type="gramEnd"/>
      <w:r w:rsidR="00C11B73" w:rsidRPr="0034148C">
        <w:t xml:space="preserve"> when they began employment.</w:t>
      </w:r>
      <w:r w:rsidRPr="0034148C">
        <w:t xml:space="preserve"> </w:t>
      </w:r>
    </w:p>
    <w:p w:rsidR="00FA0FE2" w:rsidRPr="0034148C" w:rsidRDefault="00FA0FE2" w:rsidP="00FA0FE2">
      <w:pPr>
        <w:pStyle w:val="Heading3"/>
      </w:pPr>
      <w:bookmarkStart w:id="206" w:name="_Toc338750177"/>
      <w:bookmarkStart w:id="207" w:name="_Toc339368770"/>
      <w:bookmarkStart w:id="208" w:name="_Toc338572134"/>
      <w:bookmarkStart w:id="209" w:name="_Toc338717146"/>
      <w:r w:rsidRPr="0034148C">
        <w:t>4.3.2 Sustainability</w:t>
      </w:r>
      <w:bookmarkEnd w:id="206"/>
      <w:bookmarkEnd w:id="207"/>
      <w:r w:rsidRPr="0034148C">
        <w:t xml:space="preserve"> </w:t>
      </w:r>
      <w:bookmarkEnd w:id="208"/>
      <w:bookmarkEnd w:id="209"/>
    </w:p>
    <w:p w:rsidR="003E361B" w:rsidRPr="0034148C" w:rsidRDefault="003E361B" w:rsidP="00FA0FE2">
      <w:r w:rsidRPr="0034148C">
        <w:t xml:space="preserve">Several issues </w:t>
      </w:r>
      <w:proofErr w:type="gramStart"/>
      <w:r w:rsidRPr="0034148C">
        <w:t>may be raised</w:t>
      </w:r>
      <w:proofErr w:type="gramEnd"/>
      <w:r w:rsidRPr="0034148C">
        <w:t xml:space="preserve"> with regard to the sustainability of the grants-for-jobs program. The first is whether the jobs created would last beyond the project period. </w:t>
      </w:r>
      <w:r w:rsidR="00FA0FE2" w:rsidRPr="0034148C">
        <w:t>Earlier assessments of the program que</w:t>
      </w:r>
      <w:r w:rsidR="005E2158" w:rsidRPr="0034148C">
        <w:t xml:space="preserve">stioned whether the </w:t>
      </w:r>
      <w:r w:rsidR="001623C3" w:rsidRPr="0034148C">
        <w:t xml:space="preserve">program </w:t>
      </w:r>
      <w:r w:rsidR="005E2158" w:rsidRPr="0034148C">
        <w:t xml:space="preserve">would </w:t>
      </w:r>
      <w:r w:rsidR="001623C3" w:rsidRPr="0034148C">
        <w:t xml:space="preserve">result in </w:t>
      </w:r>
      <w:r w:rsidR="005E2158" w:rsidRPr="0034148C">
        <w:t>long-term employment for the IDPs</w:t>
      </w:r>
      <w:r w:rsidR="001623C3" w:rsidRPr="0034148C">
        <w:t>, s</w:t>
      </w:r>
      <w:r w:rsidR="005E2158" w:rsidRPr="0034148C">
        <w:t xml:space="preserve">ince the </w:t>
      </w:r>
      <w:r w:rsidR="001623C3" w:rsidRPr="0034148C">
        <w:t xml:space="preserve">enterprises </w:t>
      </w:r>
      <w:r w:rsidR="005E2158" w:rsidRPr="0034148C">
        <w:t>were not required to continue the jobs</w:t>
      </w:r>
      <w:r w:rsidR="001623C3" w:rsidRPr="0034148C">
        <w:t xml:space="preserve"> after the end of the project period</w:t>
      </w:r>
      <w:r w:rsidR="005E2158" w:rsidRPr="0034148C">
        <w:t xml:space="preserve">. Some enterprises were seen to have created superfluous jobs </w:t>
      </w:r>
      <w:proofErr w:type="gramStart"/>
      <w:r w:rsidR="005E2158" w:rsidRPr="0034148C">
        <w:t>for the purpose of</w:t>
      </w:r>
      <w:proofErr w:type="gramEnd"/>
      <w:r w:rsidR="005E2158" w:rsidRPr="0034148C">
        <w:t xml:space="preserve"> securing the grant (</w:t>
      </w:r>
      <w:r w:rsidRPr="0034148C">
        <w:t>Just, 2011)</w:t>
      </w:r>
      <w:r w:rsidR="005E2158" w:rsidRPr="0034148C">
        <w:t>.</w:t>
      </w:r>
      <w:r w:rsidRPr="0034148C">
        <w:t xml:space="preserve"> </w:t>
      </w:r>
    </w:p>
    <w:p w:rsidR="001623C3" w:rsidRPr="0034148C" w:rsidRDefault="001623C3" w:rsidP="00FA0FE2">
      <w:r w:rsidRPr="0034148C">
        <w:t xml:space="preserve">While there is no information yet available on whether the jobs created </w:t>
      </w:r>
      <w:proofErr w:type="gramStart"/>
      <w:r w:rsidRPr="0034148C">
        <w:t>will be eliminated</w:t>
      </w:r>
      <w:proofErr w:type="gramEnd"/>
      <w:r w:rsidRPr="0034148C">
        <w:t xml:space="preserve"> after the project, the program data shows that </w:t>
      </w:r>
      <w:r w:rsidR="003C71CF">
        <w:t>two</w:t>
      </w:r>
      <w:r w:rsidRPr="0034148C">
        <w:t xml:space="preserve"> of the enterprises did not </w:t>
      </w:r>
      <w:r w:rsidR="00E90FF2" w:rsidRPr="0034148C">
        <w:t xml:space="preserve">succeed in creating any viable employment for IDPs. </w:t>
      </w:r>
      <w:r w:rsidR="003C71CF">
        <w:t xml:space="preserve">One of these is the business that shut down and left the country, as mentioned above. The other </w:t>
      </w:r>
      <w:r w:rsidR="003C71CF" w:rsidRPr="0034148C">
        <w:t xml:space="preserve">(the education center) </w:t>
      </w:r>
      <w:r w:rsidR="00E90FF2" w:rsidRPr="0034148C">
        <w:t xml:space="preserve">agreed to provide </w:t>
      </w:r>
      <w:proofErr w:type="gramStart"/>
      <w:r w:rsidR="00E90FF2" w:rsidRPr="0034148C">
        <w:t>5</w:t>
      </w:r>
      <w:proofErr w:type="gramEnd"/>
      <w:r w:rsidR="00E90FF2" w:rsidRPr="0034148C">
        <w:t xml:space="preserve"> jobs,</w:t>
      </w:r>
      <w:r w:rsidR="003C71CF">
        <w:t xml:space="preserve"> but</w:t>
      </w:r>
      <w:r w:rsidR="00E90FF2" w:rsidRPr="0034148C">
        <w:t xml:space="preserve"> in the end it provided employment for only 9 person-months total. </w:t>
      </w:r>
      <w:r w:rsidR="00BB7696">
        <w:t xml:space="preserve"> </w:t>
      </w:r>
      <w:r w:rsidR="00E90FF2" w:rsidRPr="0034148C">
        <w:t xml:space="preserve">The </w:t>
      </w:r>
      <w:r w:rsidR="0017526D" w:rsidRPr="0034148C">
        <w:t>remaining enterprises</w:t>
      </w:r>
      <w:r w:rsidR="00E90FF2" w:rsidRPr="0034148C">
        <w:t xml:space="preserve"> appear to be continuing to </w:t>
      </w:r>
      <w:r w:rsidR="008C39FC" w:rsidRPr="0034148C">
        <w:t xml:space="preserve">employ the IDP workers. </w:t>
      </w:r>
    </w:p>
    <w:p w:rsidR="00FA0FE2" w:rsidRPr="0034148C" w:rsidRDefault="001623C3" w:rsidP="00FA0FE2">
      <w:r w:rsidRPr="0034148C">
        <w:t xml:space="preserve">Another, though secondary, issue is whether the jobs created, and the training provided, were of any value in the competitive job market. </w:t>
      </w:r>
      <w:r w:rsidR="003E361B" w:rsidRPr="0034148C">
        <w:t>Examples</w:t>
      </w:r>
      <w:r w:rsidR="008C39FC" w:rsidRPr="0034148C">
        <w:t xml:space="preserve"> are</w:t>
      </w:r>
      <w:r w:rsidR="003E361B" w:rsidRPr="0034148C">
        <w:t xml:space="preserve"> </w:t>
      </w:r>
      <w:r w:rsidR="008C39FC" w:rsidRPr="0034148C">
        <w:t>the trout farm and greenhouse enterprises, which created only very low-skilled jobs such as guard and cleaner. While the trout farm jobs pay relatively low wages for these jobs ($</w:t>
      </w:r>
      <w:r w:rsidR="00DF392E">
        <w:t>36</w:t>
      </w:r>
      <w:r w:rsidR="008C39FC" w:rsidRPr="0034148C">
        <w:t>-$</w:t>
      </w:r>
      <w:r w:rsidR="00DF392E">
        <w:t>48</w:t>
      </w:r>
      <w:r w:rsidR="008C39FC" w:rsidRPr="0034148C">
        <w:t>, in addition to accommodation), the greenhouse pays a higher-than-average wage to its two IDP guards ($</w:t>
      </w:r>
      <w:r w:rsidR="00DF392E">
        <w:t>12</w:t>
      </w:r>
      <w:r w:rsidR="008C39FC" w:rsidRPr="0034148C">
        <w:t>0).</w:t>
      </w:r>
      <w:r w:rsidR="00E82480" w:rsidRPr="0034148C">
        <w:t xml:space="preserve"> The other businesses have trained the IDP workers in the bakery trade, in producing plastic and metal goods, </w:t>
      </w:r>
      <w:r w:rsidR="00DF392E">
        <w:t>in glass blowing, smithing, and in greenhouse work.</w:t>
      </w:r>
    </w:p>
    <w:p w:rsidR="00573F6B" w:rsidRPr="0034148C" w:rsidRDefault="00573F6B" w:rsidP="00FA0FE2">
      <w:r w:rsidRPr="0034148C">
        <w:t xml:space="preserve">Finally, the cost effectiveness of program </w:t>
      </w:r>
      <w:r w:rsidR="00A61874" w:rsidRPr="0034148C">
        <w:t xml:space="preserve">with regard to </w:t>
      </w:r>
      <w:r w:rsidRPr="0034148C">
        <w:t>its economic efficiency also raises questions about its sustainability. Table 4.3.2 compares the wages paid to the IDP employees with the grants paid to the enterprises.</w:t>
      </w:r>
      <w:r w:rsidR="00E66A9C" w:rsidRPr="0034148C">
        <w:t xml:space="preserve"> The difference between the cumulative amount paid to the employees and the total grant amount </w:t>
      </w:r>
      <w:proofErr w:type="gramStart"/>
      <w:r w:rsidR="00E66A9C" w:rsidRPr="0034148C">
        <w:t>may be seen</w:t>
      </w:r>
      <w:proofErr w:type="gramEnd"/>
      <w:r w:rsidR="00E66A9C" w:rsidRPr="0034148C">
        <w:t xml:space="preserve"> as the net benefit of the program</w:t>
      </w:r>
      <w:r w:rsidR="00A61874" w:rsidRPr="0034148C">
        <w:t xml:space="preserve"> to the IDP community</w:t>
      </w:r>
      <w:r w:rsidR="00E66A9C" w:rsidRPr="0034148C">
        <w:t xml:space="preserve">. For the program to be cost effective, the initial investment to expand the </w:t>
      </w:r>
      <w:r w:rsidR="00E66A9C" w:rsidRPr="0034148C">
        <w:lastRenderedPageBreak/>
        <w:t xml:space="preserve">enterprise and motivate </w:t>
      </w:r>
      <w:r w:rsidR="00060F27" w:rsidRPr="0034148C">
        <w:t xml:space="preserve">its employment of IDPs should eventually pay off through IDP incomes. </w:t>
      </w:r>
      <w:r w:rsidR="00B421BA" w:rsidRPr="00B421BA">
        <w:t xml:space="preserve">In fact, only </w:t>
      </w:r>
      <w:r w:rsidR="00B421BA">
        <w:t>four of t</w:t>
      </w:r>
      <w:r w:rsidR="00B421BA" w:rsidRPr="00B421BA">
        <w:t>he enterprises had paid more in IDP wages than they had taken in grant money: the wooden materials carving enterprise, plastics production</w:t>
      </w:r>
      <w:r w:rsidR="00B421BA">
        <w:t xml:space="preserve">, </w:t>
      </w:r>
      <w:r w:rsidR="00B421BA" w:rsidRPr="00B421BA">
        <w:t>the Savali Bakery</w:t>
      </w:r>
      <w:r w:rsidR="00B421BA">
        <w:t xml:space="preserve"> and the chicken slaughterhouse</w:t>
      </w:r>
      <w:r w:rsidR="00B421BA" w:rsidRPr="00B421BA">
        <w:t>.</w:t>
      </w:r>
      <w:r w:rsidR="00060F27" w:rsidRPr="0034148C">
        <w:t xml:space="preserve"> </w:t>
      </w:r>
      <w:proofErr w:type="gramStart"/>
      <w:r w:rsidR="00060F27" w:rsidRPr="0034148C">
        <w:t>Also</w:t>
      </w:r>
      <w:proofErr w:type="gramEnd"/>
      <w:r w:rsidR="00060F27" w:rsidRPr="0034148C">
        <w:t xml:space="preserve">, while the initial plan for the program was to give a maximum of $10,000 in grant money, </w:t>
      </w:r>
      <w:r w:rsidR="00A61874" w:rsidRPr="0034148C">
        <w:t xml:space="preserve">it can be seen that </w:t>
      </w:r>
      <w:r w:rsidR="00060F27" w:rsidRPr="0034148C">
        <w:t>f</w:t>
      </w:r>
      <w:r w:rsidR="000216D5">
        <w:t>ive</w:t>
      </w:r>
      <w:r w:rsidR="00060F27" w:rsidRPr="0034148C">
        <w:t xml:space="preserve"> of the enterprises received more than that amount and one (the </w:t>
      </w:r>
      <w:r w:rsidR="000216D5">
        <w:t>greenhouse</w:t>
      </w:r>
      <w:r w:rsidR="00060F27" w:rsidRPr="0034148C">
        <w:t>) received more than twice as much ($2</w:t>
      </w:r>
      <w:r w:rsidR="000216D5">
        <w:t>5</w:t>
      </w:r>
      <w:r w:rsidR="00060F27" w:rsidRPr="0034148C">
        <w:t>,</w:t>
      </w:r>
      <w:r w:rsidR="000216D5">
        <w:t>869</w:t>
      </w:r>
      <w:r w:rsidR="00060F27" w:rsidRPr="0034148C">
        <w:t>).</w:t>
      </w:r>
      <w:r w:rsidR="005A7B48">
        <w:t xml:space="preserve">  </w:t>
      </w:r>
    </w:p>
    <w:p w:rsidR="00573F6B" w:rsidRPr="0034148C" w:rsidRDefault="00EC7A8A" w:rsidP="00EC7A8A">
      <w:pPr>
        <w:pStyle w:val="Heading4"/>
      </w:pPr>
      <w:bookmarkStart w:id="210" w:name="_Toc338572018"/>
      <w:bookmarkStart w:id="211" w:name="_Toc338717199"/>
      <w:bookmarkStart w:id="212" w:name="_Toc338750271"/>
      <w:bookmarkStart w:id="213" w:name="_Toc339368883"/>
      <w:r w:rsidRPr="0034148C">
        <w:t>Table 4.3.2: Grant amount and cumulative wages paid to grants-for-jobs employees by the end of the project period</w:t>
      </w:r>
      <w:bookmarkEnd w:id="210"/>
      <w:bookmarkEnd w:id="211"/>
      <w:bookmarkEnd w:id="212"/>
      <w:r w:rsidR="00FD11BD">
        <w:t xml:space="preserve"> (in USD)</w:t>
      </w:r>
      <w:bookmarkEnd w:id="213"/>
    </w:p>
    <w:tbl>
      <w:tblPr>
        <w:tblW w:w="4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3527"/>
        <w:gridCol w:w="1275"/>
        <w:gridCol w:w="1189"/>
        <w:gridCol w:w="1374"/>
      </w:tblGrid>
      <w:tr w:rsidR="00EE3451" w:rsidRPr="0034148C" w:rsidTr="00182723">
        <w:trPr>
          <w:trHeight w:val="264"/>
          <w:jc w:val="center"/>
        </w:trPr>
        <w:tc>
          <w:tcPr>
            <w:tcW w:w="798" w:type="dxa"/>
            <w:shd w:val="clear" w:color="auto" w:fill="auto"/>
            <w:noWrap/>
            <w:vAlign w:val="bottom"/>
            <w:hideMark/>
          </w:tcPr>
          <w:p w:rsidR="00EE3451" w:rsidRPr="0034148C" w:rsidRDefault="00EE3451" w:rsidP="00E66A9C">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No.</w:t>
            </w:r>
          </w:p>
        </w:tc>
        <w:tc>
          <w:tcPr>
            <w:tcW w:w="3527" w:type="dxa"/>
            <w:shd w:val="clear" w:color="auto" w:fill="auto"/>
            <w:vAlign w:val="center"/>
            <w:hideMark/>
          </w:tcPr>
          <w:p w:rsidR="00EE3451" w:rsidRPr="0034148C" w:rsidRDefault="00EE3451" w:rsidP="00E66A9C">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Type of enterprise</w:t>
            </w:r>
          </w:p>
        </w:tc>
        <w:tc>
          <w:tcPr>
            <w:tcW w:w="1275" w:type="dxa"/>
          </w:tcPr>
          <w:p w:rsidR="00EE3451" w:rsidRPr="0034148C" w:rsidRDefault="00EE3451" w:rsidP="00E66A9C">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Cumulative wages</w:t>
            </w:r>
          </w:p>
        </w:tc>
        <w:tc>
          <w:tcPr>
            <w:tcW w:w="1189" w:type="dxa"/>
          </w:tcPr>
          <w:p w:rsidR="00EE3451" w:rsidRPr="0034148C" w:rsidRDefault="00EE3451" w:rsidP="00E66A9C">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Grant</w:t>
            </w:r>
          </w:p>
        </w:tc>
        <w:tc>
          <w:tcPr>
            <w:tcW w:w="1374" w:type="dxa"/>
          </w:tcPr>
          <w:p w:rsidR="00EE3451" w:rsidRPr="0034148C" w:rsidRDefault="00EE3451" w:rsidP="00E66A9C">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Cumulative wages - grant</w:t>
            </w:r>
          </w:p>
        </w:tc>
      </w:tr>
      <w:tr w:rsidR="00AF098F" w:rsidRPr="0034148C" w:rsidTr="000216D5">
        <w:trPr>
          <w:trHeight w:val="264"/>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Carving on Wooden Materials</w:t>
            </w:r>
          </w:p>
        </w:tc>
        <w:tc>
          <w:tcPr>
            <w:tcW w:w="1275"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3,343</w:t>
            </w:r>
          </w:p>
        </w:tc>
        <w:tc>
          <w:tcPr>
            <w:tcW w:w="1189"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2,618</w:t>
            </w:r>
          </w:p>
        </w:tc>
        <w:tc>
          <w:tcPr>
            <w:tcW w:w="1374"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726</w:t>
            </w:r>
          </w:p>
        </w:tc>
      </w:tr>
      <w:tr w:rsidR="00AF098F" w:rsidRPr="0034148C" w:rsidTr="000216D5">
        <w:trPr>
          <w:trHeight w:val="264"/>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 xml:space="preserve">Production of soft drinks </w:t>
            </w:r>
          </w:p>
        </w:tc>
        <w:tc>
          <w:tcPr>
            <w:tcW w:w="1275"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1,627</w:t>
            </w:r>
          </w:p>
        </w:tc>
        <w:tc>
          <w:tcPr>
            <w:tcW w:w="1189"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10,588</w:t>
            </w:r>
          </w:p>
        </w:tc>
        <w:tc>
          <w:tcPr>
            <w:tcW w:w="1374"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-8,962</w:t>
            </w:r>
          </w:p>
        </w:tc>
      </w:tr>
      <w:tr w:rsidR="00AF098F" w:rsidRPr="0034148C" w:rsidTr="000216D5">
        <w:trPr>
          <w:trHeight w:val="264"/>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3</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Savali Bakery</w:t>
            </w:r>
          </w:p>
        </w:tc>
        <w:tc>
          <w:tcPr>
            <w:tcW w:w="1275"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10,843</w:t>
            </w:r>
          </w:p>
        </w:tc>
        <w:tc>
          <w:tcPr>
            <w:tcW w:w="1189"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10,007</w:t>
            </w:r>
          </w:p>
        </w:tc>
        <w:tc>
          <w:tcPr>
            <w:tcW w:w="1374"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836</w:t>
            </w:r>
          </w:p>
        </w:tc>
      </w:tr>
      <w:tr w:rsidR="00AF098F" w:rsidRPr="0034148C" w:rsidTr="000216D5">
        <w:trPr>
          <w:trHeight w:val="264"/>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4</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Greenhouse</w:t>
            </w:r>
          </w:p>
        </w:tc>
        <w:tc>
          <w:tcPr>
            <w:tcW w:w="1275"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2,892</w:t>
            </w:r>
          </w:p>
        </w:tc>
        <w:tc>
          <w:tcPr>
            <w:tcW w:w="1189"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25,869</w:t>
            </w:r>
          </w:p>
        </w:tc>
        <w:tc>
          <w:tcPr>
            <w:tcW w:w="1374"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-22,978</w:t>
            </w:r>
          </w:p>
        </w:tc>
      </w:tr>
      <w:tr w:rsidR="00AF098F" w:rsidRPr="0034148C" w:rsidTr="000216D5">
        <w:trPr>
          <w:trHeight w:val="264"/>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5</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Production of Corn Flakes</w:t>
            </w:r>
          </w:p>
        </w:tc>
        <w:tc>
          <w:tcPr>
            <w:tcW w:w="1275"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2,289</w:t>
            </w:r>
          </w:p>
        </w:tc>
        <w:tc>
          <w:tcPr>
            <w:tcW w:w="1189"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8,982</w:t>
            </w:r>
          </w:p>
        </w:tc>
        <w:tc>
          <w:tcPr>
            <w:tcW w:w="1374"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-6,693</w:t>
            </w:r>
          </w:p>
        </w:tc>
      </w:tr>
      <w:tr w:rsidR="00AF098F" w:rsidRPr="0034148C" w:rsidTr="000216D5">
        <w:trPr>
          <w:trHeight w:val="264"/>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6</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Tkbili Kvekana Bakery</w:t>
            </w:r>
          </w:p>
        </w:tc>
        <w:tc>
          <w:tcPr>
            <w:tcW w:w="1275"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5,012</w:t>
            </w:r>
          </w:p>
        </w:tc>
        <w:tc>
          <w:tcPr>
            <w:tcW w:w="1189"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5,964</w:t>
            </w:r>
          </w:p>
        </w:tc>
        <w:tc>
          <w:tcPr>
            <w:tcW w:w="1374"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-952</w:t>
            </w:r>
          </w:p>
        </w:tc>
      </w:tr>
      <w:tr w:rsidR="00AF098F" w:rsidRPr="0034148C" w:rsidTr="000216D5">
        <w:trPr>
          <w:trHeight w:val="264"/>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7</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Education center</w:t>
            </w:r>
          </w:p>
        </w:tc>
        <w:tc>
          <w:tcPr>
            <w:tcW w:w="1275"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331</w:t>
            </w:r>
          </w:p>
        </w:tc>
        <w:tc>
          <w:tcPr>
            <w:tcW w:w="1189"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1,898</w:t>
            </w:r>
          </w:p>
        </w:tc>
        <w:tc>
          <w:tcPr>
            <w:tcW w:w="1374"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-1,567</w:t>
            </w:r>
          </w:p>
        </w:tc>
      </w:tr>
      <w:tr w:rsidR="00AF098F" w:rsidRPr="0034148C" w:rsidTr="000216D5">
        <w:trPr>
          <w:trHeight w:val="288"/>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8</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Metal-plastic goods production</w:t>
            </w:r>
          </w:p>
        </w:tc>
        <w:tc>
          <w:tcPr>
            <w:tcW w:w="1275"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2,530</w:t>
            </w:r>
          </w:p>
        </w:tc>
        <w:tc>
          <w:tcPr>
            <w:tcW w:w="1189"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7,126</w:t>
            </w:r>
          </w:p>
        </w:tc>
        <w:tc>
          <w:tcPr>
            <w:tcW w:w="1374"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-4,596</w:t>
            </w:r>
          </w:p>
        </w:tc>
      </w:tr>
      <w:tr w:rsidR="00AF098F" w:rsidRPr="0034148C" w:rsidTr="000216D5">
        <w:trPr>
          <w:trHeight w:val="288"/>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9</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Trout farm</w:t>
            </w:r>
          </w:p>
        </w:tc>
        <w:tc>
          <w:tcPr>
            <w:tcW w:w="1275"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1,855</w:t>
            </w:r>
          </w:p>
        </w:tc>
        <w:tc>
          <w:tcPr>
            <w:tcW w:w="1189"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11,478</w:t>
            </w:r>
          </w:p>
        </w:tc>
        <w:tc>
          <w:tcPr>
            <w:tcW w:w="1374" w:type="dxa"/>
            <w:vAlign w:val="bottom"/>
          </w:tcPr>
          <w:p w:rsidR="00AF098F" w:rsidRPr="00AF098F" w:rsidRDefault="00AF098F" w:rsidP="00AF098F">
            <w:pPr>
              <w:spacing w:after="0" w:line="240" w:lineRule="auto"/>
              <w:jc w:val="right"/>
              <w:rPr>
                <w:rFonts w:asciiTheme="minorHAnsi" w:hAnsiTheme="minorHAnsi" w:cstheme="minorHAnsi"/>
                <w:sz w:val="20"/>
                <w:szCs w:val="20"/>
              </w:rPr>
            </w:pPr>
            <w:r w:rsidRPr="00AF098F">
              <w:rPr>
                <w:rFonts w:asciiTheme="minorHAnsi" w:hAnsiTheme="minorHAnsi" w:cstheme="minorHAnsi"/>
                <w:sz w:val="20"/>
                <w:szCs w:val="20"/>
              </w:rPr>
              <w:t>-9,622</w:t>
            </w:r>
          </w:p>
        </w:tc>
      </w:tr>
      <w:tr w:rsidR="008115F3" w:rsidRPr="0034148C" w:rsidTr="000216D5">
        <w:trPr>
          <w:trHeight w:val="288"/>
          <w:jc w:val="center"/>
        </w:trPr>
        <w:tc>
          <w:tcPr>
            <w:tcW w:w="798" w:type="dxa"/>
            <w:shd w:val="clear" w:color="auto" w:fill="auto"/>
            <w:noWrap/>
            <w:vAlign w:val="bottom"/>
            <w:hideMark/>
          </w:tcPr>
          <w:p w:rsidR="008115F3" w:rsidRPr="0034148C" w:rsidRDefault="008115F3"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10</w:t>
            </w:r>
          </w:p>
        </w:tc>
        <w:tc>
          <w:tcPr>
            <w:tcW w:w="3527" w:type="dxa"/>
            <w:shd w:val="clear" w:color="auto" w:fill="auto"/>
            <w:vAlign w:val="center"/>
            <w:hideMark/>
          </w:tcPr>
          <w:p w:rsidR="008115F3" w:rsidRPr="0034148C" w:rsidRDefault="008115F3"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Plastic goods production</w:t>
            </w:r>
          </w:p>
        </w:tc>
        <w:tc>
          <w:tcPr>
            <w:tcW w:w="1275" w:type="dxa"/>
            <w:vAlign w:val="bottom"/>
          </w:tcPr>
          <w:p w:rsidR="008115F3" w:rsidRPr="008115F3" w:rsidRDefault="008115F3"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11,976</w:t>
            </w:r>
          </w:p>
        </w:tc>
        <w:tc>
          <w:tcPr>
            <w:tcW w:w="1189" w:type="dxa"/>
            <w:vAlign w:val="bottom"/>
          </w:tcPr>
          <w:p w:rsidR="008115F3" w:rsidRPr="008115F3" w:rsidRDefault="008115F3"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5,389</w:t>
            </w:r>
          </w:p>
        </w:tc>
        <w:tc>
          <w:tcPr>
            <w:tcW w:w="1374" w:type="dxa"/>
            <w:vAlign w:val="bottom"/>
          </w:tcPr>
          <w:p w:rsidR="008115F3" w:rsidRPr="008115F3" w:rsidRDefault="008115F3"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6,587</w:t>
            </w:r>
          </w:p>
        </w:tc>
      </w:tr>
      <w:tr w:rsidR="00AF098F" w:rsidRPr="0034148C" w:rsidTr="000216D5">
        <w:trPr>
          <w:trHeight w:val="288"/>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11</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Grocery shop</w:t>
            </w:r>
          </w:p>
        </w:tc>
        <w:tc>
          <w:tcPr>
            <w:tcW w:w="1275"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759</w:t>
            </w:r>
          </w:p>
        </w:tc>
        <w:tc>
          <w:tcPr>
            <w:tcW w:w="1189"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5,063</w:t>
            </w:r>
          </w:p>
        </w:tc>
        <w:tc>
          <w:tcPr>
            <w:tcW w:w="1374"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-4,303</w:t>
            </w:r>
          </w:p>
        </w:tc>
      </w:tr>
      <w:tr w:rsidR="00AF098F" w:rsidRPr="0034148C" w:rsidTr="000216D5">
        <w:trPr>
          <w:trHeight w:val="288"/>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12</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Chicken slaughterhouse</w:t>
            </w:r>
          </w:p>
        </w:tc>
        <w:tc>
          <w:tcPr>
            <w:tcW w:w="1275"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13,012</w:t>
            </w:r>
          </w:p>
        </w:tc>
        <w:tc>
          <w:tcPr>
            <w:tcW w:w="1189"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11,241</w:t>
            </w:r>
          </w:p>
        </w:tc>
        <w:tc>
          <w:tcPr>
            <w:tcW w:w="1374"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1,771</w:t>
            </w:r>
          </w:p>
        </w:tc>
      </w:tr>
      <w:tr w:rsidR="00AF098F" w:rsidRPr="0034148C" w:rsidTr="000216D5">
        <w:trPr>
          <w:trHeight w:val="288"/>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13</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Chicken incubator</w:t>
            </w:r>
          </w:p>
        </w:tc>
        <w:tc>
          <w:tcPr>
            <w:tcW w:w="1275"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361</w:t>
            </w:r>
          </w:p>
        </w:tc>
        <w:tc>
          <w:tcPr>
            <w:tcW w:w="1189"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2,075</w:t>
            </w:r>
          </w:p>
        </w:tc>
        <w:tc>
          <w:tcPr>
            <w:tcW w:w="1374"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-1,714</w:t>
            </w:r>
          </w:p>
        </w:tc>
      </w:tr>
      <w:tr w:rsidR="00AF098F" w:rsidRPr="0034148C" w:rsidTr="000216D5">
        <w:trPr>
          <w:trHeight w:val="288"/>
          <w:jc w:val="center"/>
        </w:trPr>
        <w:tc>
          <w:tcPr>
            <w:tcW w:w="798" w:type="dxa"/>
            <w:shd w:val="clear" w:color="auto" w:fill="auto"/>
            <w:noWrap/>
            <w:vAlign w:val="bottom"/>
            <w:hideMark/>
          </w:tcPr>
          <w:p w:rsidR="00AF098F" w:rsidRPr="0034148C" w:rsidRDefault="00AF098F" w:rsidP="00E66A9C">
            <w:pPr>
              <w:spacing w:after="0" w:line="240" w:lineRule="auto"/>
              <w:jc w:val="center"/>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14</w:t>
            </w:r>
          </w:p>
        </w:tc>
        <w:tc>
          <w:tcPr>
            <w:tcW w:w="3527" w:type="dxa"/>
            <w:shd w:val="clear" w:color="auto" w:fill="auto"/>
            <w:vAlign w:val="center"/>
            <w:hideMark/>
          </w:tcPr>
          <w:p w:rsidR="00AF098F" w:rsidRPr="0034148C" w:rsidRDefault="00AF098F" w:rsidP="00E66A9C">
            <w:pPr>
              <w:spacing w:after="0" w:line="240" w:lineRule="auto"/>
              <w:jc w:val="lef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Farmers' service center</w:t>
            </w:r>
          </w:p>
        </w:tc>
        <w:tc>
          <w:tcPr>
            <w:tcW w:w="1275"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151</w:t>
            </w:r>
          </w:p>
        </w:tc>
        <w:tc>
          <w:tcPr>
            <w:tcW w:w="1189"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5,250</w:t>
            </w:r>
          </w:p>
        </w:tc>
        <w:tc>
          <w:tcPr>
            <w:tcW w:w="1374" w:type="dxa"/>
            <w:vAlign w:val="bottom"/>
          </w:tcPr>
          <w:p w:rsidR="00AF098F" w:rsidRPr="008115F3" w:rsidRDefault="00AF098F"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-5,099</w:t>
            </w:r>
          </w:p>
        </w:tc>
      </w:tr>
      <w:tr w:rsidR="008115F3" w:rsidRPr="0034148C" w:rsidTr="00182723">
        <w:trPr>
          <w:trHeight w:val="288"/>
          <w:jc w:val="center"/>
        </w:trPr>
        <w:tc>
          <w:tcPr>
            <w:tcW w:w="798" w:type="dxa"/>
            <w:shd w:val="clear" w:color="auto" w:fill="auto"/>
            <w:noWrap/>
            <w:vAlign w:val="bottom"/>
            <w:hideMark/>
          </w:tcPr>
          <w:p w:rsidR="008115F3" w:rsidRPr="0034148C" w:rsidRDefault="008115F3" w:rsidP="00E66A9C">
            <w:pPr>
              <w:spacing w:after="0" w:line="240" w:lineRule="auto"/>
              <w:jc w:val="center"/>
              <w:rPr>
                <w:rFonts w:asciiTheme="minorHAnsi" w:eastAsia="Times New Roman" w:hAnsiTheme="minorHAnsi" w:cstheme="minorHAnsi"/>
                <w:sz w:val="20"/>
                <w:szCs w:val="20"/>
                <w:lang w:bidi="th-TH"/>
              </w:rPr>
            </w:pPr>
          </w:p>
        </w:tc>
        <w:tc>
          <w:tcPr>
            <w:tcW w:w="3527" w:type="dxa"/>
            <w:shd w:val="clear" w:color="auto" w:fill="auto"/>
            <w:vAlign w:val="center"/>
            <w:hideMark/>
          </w:tcPr>
          <w:p w:rsidR="008115F3" w:rsidRPr="0034148C" w:rsidRDefault="008115F3" w:rsidP="00E66A9C">
            <w:pPr>
              <w:spacing w:after="0" w:line="240" w:lineRule="auto"/>
              <w:jc w:val="left"/>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Total</w:t>
            </w:r>
          </w:p>
        </w:tc>
        <w:tc>
          <w:tcPr>
            <w:tcW w:w="1275" w:type="dxa"/>
            <w:vAlign w:val="bottom"/>
          </w:tcPr>
          <w:p w:rsidR="008115F3" w:rsidRPr="008115F3" w:rsidRDefault="008115F3"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56,982</w:t>
            </w:r>
          </w:p>
        </w:tc>
        <w:tc>
          <w:tcPr>
            <w:tcW w:w="1189" w:type="dxa"/>
            <w:vAlign w:val="bottom"/>
          </w:tcPr>
          <w:p w:rsidR="008115F3" w:rsidRPr="008115F3" w:rsidRDefault="008115F3"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113,548</w:t>
            </w:r>
          </w:p>
        </w:tc>
        <w:tc>
          <w:tcPr>
            <w:tcW w:w="1374" w:type="dxa"/>
            <w:vAlign w:val="bottom"/>
          </w:tcPr>
          <w:p w:rsidR="008115F3" w:rsidRPr="008115F3" w:rsidRDefault="008115F3" w:rsidP="008115F3">
            <w:pPr>
              <w:spacing w:after="0" w:line="240" w:lineRule="auto"/>
              <w:jc w:val="right"/>
              <w:rPr>
                <w:rFonts w:asciiTheme="minorHAnsi" w:hAnsiTheme="minorHAnsi" w:cstheme="minorHAnsi"/>
                <w:sz w:val="20"/>
                <w:szCs w:val="20"/>
              </w:rPr>
            </w:pPr>
            <w:r w:rsidRPr="008115F3">
              <w:rPr>
                <w:rFonts w:asciiTheme="minorHAnsi" w:hAnsiTheme="minorHAnsi" w:cstheme="minorHAnsi"/>
                <w:sz w:val="20"/>
                <w:szCs w:val="20"/>
              </w:rPr>
              <w:t>-56,566</w:t>
            </w:r>
          </w:p>
        </w:tc>
      </w:tr>
    </w:tbl>
    <w:p w:rsidR="00EC7A8A" w:rsidRPr="0034148C" w:rsidRDefault="0023518C" w:rsidP="0023518C">
      <w:pPr>
        <w:pStyle w:val="Figurenote"/>
      </w:pPr>
      <w:r w:rsidRPr="0034148C">
        <w:tab/>
        <w:t>Source: Project monitoring database</w:t>
      </w:r>
    </w:p>
    <w:p w:rsidR="0023518C" w:rsidRPr="0034148C" w:rsidRDefault="0023518C" w:rsidP="0023518C">
      <w:pPr>
        <w:pStyle w:val="Figurenote"/>
      </w:pPr>
    </w:p>
    <w:p w:rsidR="002B07EA" w:rsidRPr="0034148C" w:rsidRDefault="00060F27" w:rsidP="00F46705">
      <w:r w:rsidRPr="0034148C">
        <w:t xml:space="preserve">While </w:t>
      </w:r>
      <w:r w:rsidR="00C63E9A">
        <w:t xml:space="preserve">only a few </w:t>
      </w:r>
      <w:r w:rsidRPr="0034148C">
        <w:t>of the grants-for-jobs enterprises had given back in wages the amount that they received in grants</w:t>
      </w:r>
      <w:r w:rsidR="00A61874" w:rsidRPr="0034148C">
        <w:t xml:space="preserve"> by the end of the project period</w:t>
      </w:r>
      <w:r w:rsidRPr="0034148C">
        <w:t xml:space="preserve">, it may be presumed that </w:t>
      </w:r>
      <w:r w:rsidR="007F2849" w:rsidRPr="0034148C">
        <w:t>th</w:t>
      </w:r>
      <w:r w:rsidR="00A61874" w:rsidRPr="0034148C">
        <w:t xml:space="preserve">ey </w:t>
      </w:r>
      <w:r w:rsidR="007F2849" w:rsidRPr="0034148C">
        <w:t xml:space="preserve">would </w:t>
      </w:r>
      <w:r w:rsidR="00A61874" w:rsidRPr="0034148C">
        <w:t xml:space="preserve">eventually due so </w:t>
      </w:r>
      <w:r w:rsidR="007F2849" w:rsidRPr="0034148C">
        <w:t>after sufficient time has pas</w:t>
      </w:r>
      <w:r w:rsidR="00A61874" w:rsidRPr="0034148C">
        <w:t>sed</w:t>
      </w:r>
      <w:r w:rsidR="007F2849" w:rsidRPr="0034148C">
        <w:t>. Figure 4.3.1 gives an indication of the likelihood of the enterprises reaching that threshold</w:t>
      </w:r>
      <w:r w:rsidR="00ED0894">
        <w:t>; in other words, the zero level on the graph</w:t>
      </w:r>
      <w:r w:rsidR="007F2849" w:rsidRPr="0034148C">
        <w:t>.</w:t>
      </w:r>
      <w:r w:rsidR="00BA15FE" w:rsidRPr="0034148C">
        <w:t xml:space="preserve"> </w:t>
      </w:r>
      <w:r w:rsidR="003F3D3C">
        <w:t xml:space="preserve">The chicken </w:t>
      </w:r>
      <w:r w:rsidR="00E02922">
        <w:t xml:space="preserve">slaughterhouse </w:t>
      </w:r>
      <w:r w:rsidR="00E02922" w:rsidRPr="0034148C">
        <w:t>“</w:t>
      </w:r>
      <w:r w:rsidR="003F3D3C" w:rsidRPr="0034148C">
        <w:t>paid off” the grant through wages</w:t>
      </w:r>
      <w:r w:rsidR="003F3D3C">
        <w:t xml:space="preserve"> in 5 months, and the plastics production enterprise in 6 months. The other two who reached the </w:t>
      </w:r>
      <w:r w:rsidR="00F46705">
        <w:t>zero level (wooden carving and Savali Bakery) took much longer to do so</w:t>
      </w:r>
      <w:r w:rsidR="00F46705" w:rsidRPr="009E49B5">
        <w:rPr>
          <w:rFonts w:ascii="Calibri" w:hAnsi="Calibri" w:cs="Calibri"/>
        </w:rPr>
        <w:t>—</w:t>
      </w:r>
      <w:r w:rsidR="00F46705">
        <w:t xml:space="preserve">from 14-17 months. The other bakery enterprise is on track to </w:t>
      </w:r>
      <w:r w:rsidR="003E0501" w:rsidRPr="0034148C">
        <w:t>match the grant amount with wages paid</w:t>
      </w:r>
      <w:r w:rsidR="00F46705">
        <w:t xml:space="preserve"> in the near future</w:t>
      </w:r>
      <w:r w:rsidR="003E0501" w:rsidRPr="0034148C">
        <w:t xml:space="preserve">, while the </w:t>
      </w:r>
      <w:r w:rsidR="00F46705">
        <w:t xml:space="preserve">other businesses </w:t>
      </w:r>
      <w:r w:rsidR="003E0501" w:rsidRPr="0034148C">
        <w:t>will take much longer</w:t>
      </w:r>
      <w:r w:rsidR="001F43FE" w:rsidRPr="0034148C">
        <w:t xml:space="preserve"> to do so</w:t>
      </w:r>
      <w:r w:rsidR="003E0501" w:rsidRPr="0034148C">
        <w:t>.</w:t>
      </w:r>
      <w:r w:rsidR="00F46705">
        <w:t xml:space="preserve"> The greenhouse took such a large grant that it looks unlikely to be able to match this amount.</w:t>
      </w:r>
      <w:r w:rsidR="002B07EA" w:rsidRPr="0034148C">
        <w:t xml:space="preserve"> The education center</w:t>
      </w:r>
      <w:r w:rsidR="00206AEC">
        <w:t xml:space="preserve"> and the other business that closed</w:t>
      </w:r>
      <w:r w:rsidR="002B07EA" w:rsidRPr="0034148C">
        <w:t xml:space="preserve"> </w:t>
      </w:r>
      <w:proofErr w:type="gramStart"/>
      <w:r w:rsidR="002B07EA" w:rsidRPr="0034148C">
        <w:t>is</w:t>
      </w:r>
      <w:proofErr w:type="gramEnd"/>
      <w:r w:rsidR="002B07EA" w:rsidRPr="0034148C">
        <w:t xml:space="preserve"> not included on this graph</w:t>
      </w:r>
      <w:r w:rsidR="007D32FD" w:rsidRPr="0034148C">
        <w:t>.</w:t>
      </w:r>
      <w:r w:rsidR="002B07EA" w:rsidRPr="0034148C">
        <w:t xml:space="preserve"> </w:t>
      </w:r>
      <w:r w:rsidR="001F43FE" w:rsidRPr="0034148C">
        <w:t xml:space="preserve"> </w:t>
      </w:r>
    </w:p>
    <w:p w:rsidR="00BF2386" w:rsidRPr="0034148C" w:rsidRDefault="00BF2386">
      <w:pPr>
        <w:spacing w:after="200"/>
        <w:jc w:val="left"/>
        <w:rPr>
          <w:rFonts w:eastAsiaTheme="majorEastAsia" w:cs="Angsana New"/>
          <w:b/>
          <w:bCs/>
          <w:iCs/>
        </w:rPr>
      </w:pPr>
      <w:bookmarkStart w:id="214" w:name="_Toc338572019"/>
      <w:r w:rsidRPr="0034148C">
        <w:br w:type="page"/>
      </w:r>
    </w:p>
    <w:p w:rsidR="00206AEC" w:rsidRPr="0034148C" w:rsidRDefault="00ED0894" w:rsidP="00206AEC">
      <w:pPr>
        <w:pStyle w:val="Heading5"/>
      </w:pPr>
      <w:bookmarkStart w:id="215" w:name="_Toc338571944"/>
      <w:bookmarkStart w:id="216" w:name="_Toc338717183"/>
      <w:bookmarkStart w:id="217" w:name="_Toc338750249"/>
      <w:bookmarkEnd w:id="214"/>
      <w:r>
        <w:rPr>
          <w:noProof/>
          <w:lang w:bidi="th-TH"/>
        </w:rPr>
        <w:lastRenderedPageBreak/>
        <w:drawing>
          <wp:anchor distT="0" distB="0" distL="114300" distR="114300" simplePos="0" relativeHeight="251696128" behindDoc="0" locked="0" layoutInCell="1" allowOverlap="0">
            <wp:simplePos x="0" y="0"/>
            <wp:positionH relativeFrom="margin">
              <wp:posOffset>-52705</wp:posOffset>
            </wp:positionH>
            <wp:positionV relativeFrom="paragraph">
              <wp:posOffset>596265</wp:posOffset>
            </wp:positionV>
            <wp:extent cx="5933440" cy="4500245"/>
            <wp:effectExtent l="19050" t="0" r="10160" b="0"/>
            <wp:wrapTopAndBottom/>
            <wp:docPr id="3"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bookmarkStart w:id="218" w:name="_Toc339368818"/>
      <w:r w:rsidR="00206AEC" w:rsidRPr="0034148C">
        <w:t xml:space="preserve">Figure 4.3.1: Cumulative wages paid by grants-for-jobs enterprises </w:t>
      </w:r>
      <w:r>
        <w:t>by months in operation</w:t>
      </w:r>
      <w:r w:rsidR="00206AEC" w:rsidRPr="0034148C">
        <w:t xml:space="preserve"> minus grant amount</w:t>
      </w:r>
      <w:bookmarkEnd w:id="215"/>
      <w:bookmarkEnd w:id="216"/>
      <w:bookmarkEnd w:id="217"/>
      <w:r>
        <w:t xml:space="preserve"> (USD)</w:t>
      </w:r>
      <w:bookmarkEnd w:id="218"/>
    </w:p>
    <w:p w:rsidR="00206AEC" w:rsidRDefault="00206AEC" w:rsidP="00206AEC">
      <w:pPr>
        <w:rPr>
          <w:lang w:bidi="th-TH"/>
        </w:rPr>
      </w:pPr>
      <w:r w:rsidRPr="0034148C">
        <w:t>Source: Project monitoring database</w:t>
      </w:r>
      <w:r w:rsidRPr="0034148C">
        <w:rPr>
          <w:lang w:bidi="th-TH"/>
        </w:rPr>
        <w:t xml:space="preserve"> </w:t>
      </w:r>
    </w:p>
    <w:p w:rsidR="00023500" w:rsidRDefault="00023500" w:rsidP="00206AEC">
      <w:proofErr w:type="gramStart"/>
      <w:r w:rsidRPr="0034148C">
        <w:t>Thus</w:t>
      </w:r>
      <w:proofErr w:type="gramEnd"/>
      <w:r w:rsidRPr="0034148C">
        <w:t xml:space="preserve"> it can be said</w:t>
      </w:r>
      <w:r>
        <w:t xml:space="preserve"> that while the start-up costs were high, in the </w:t>
      </w:r>
      <w:r w:rsidR="005745F2">
        <w:t xml:space="preserve">short-run the program provided much needed immediate employment opportunities, and in the </w:t>
      </w:r>
      <w:r w:rsidR="00E02922">
        <w:t>long run</w:t>
      </w:r>
      <w:r>
        <w:t xml:space="preserve"> to </w:t>
      </w:r>
      <w:r w:rsidR="005745F2">
        <w:t xml:space="preserve">continued </w:t>
      </w:r>
      <w:r>
        <w:t xml:space="preserve">employment for some number of IDPs. The program has another important advantage in that it was of direct benefit to non-IDPs in the community. It is important that the local population be the beneficiaries for some component of the SIIMS project, as resentment towards IDPs can grow if they </w:t>
      </w:r>
      <w:proofErr w:type="gramStart"/>
      <w:r>
        <w:t>are seen</w:t>
      </w:r>
      <w:proofErr w:type="gramEnd"/>
      <w:r>
        <w:t xml:space="preserve"> as receiving unfair advantages by </w:t>
      </w:r>
      <w:r w:rsidR="00D9639A">
        <w:t>these programs.</w:t>
      </w:r>
    </w:p>
    <w:p w:rsidR="00D9639A" w:rsidRPr="0034148C" w:rsidRDefault="00D9639A" w:rsidP="00D9639A">
      <w:pPr>
        <w:pStyle w:val="Heading3"/>
      </w:pPr>
      <w:bookmarkStart w:id="219" w:name="_Toc338750178"/>
      <w:bookmarkStart w:id="220" w:name="_Toc339368771"/>
      <w:r>
        <w:t>4.3.3 Challenges of the program</w:t>
      </w:r>
      <w:bookmarkEnd w:id="219"/>
      <w:bookmarkEnd w:id="220"/>
    </w:p>
    <w:p w:rsidR="003E0501" w:rsidRPr="0034148C" w:rsidRDefault="003E0501" w:rsidP="00EC7A8A">
      <w:r w:rsidRPr="0034148C">
        <w:t>CARE staff and other stakeholders acknowledged that the grants-for-jobs program proved to be more difficult to implement than expected. It was difficult to find</w:t>
      </w:r>
      <w:r w:rsidR="00CC2425" w:rsidRPr="0034148C">
        <w:t xml:space="preserve"> businesses who were interested in joining the program, and </w:t>
      </w:r>
      <w:r w:rsidR="00D9639A">
        <w:t xml:space="preserve">even more difficult to </w:t>
      </w:r>
      <w:r w:rsidR="00CC2425" w:rsidRPr="0034148C">
        <w:t xml:space="preserve">those </w:t>
      </w:r>
      <w:r w:rsidR="00D9639A">
        <w:t xml:space="preserve">with good prospects for success and a likely pay-off to investment. </w:t>
      </w:r>
      <w:r w:rsidR="00CC2425" w:rsidRPr="0034148C">
        <w:t xml:space="preserve">It </w:t>
      </w:r>
      <w:proofErr w:type="gramStart"/>
      <w:r w:rsidR="00CC2425" w:rsidRPr="0034148C">
        <w:t>should be remembered</w:t>
      </w:r>
      <w:proofErr w:type="gramEnd"/>
      <w:r w:rsidR="00CC2425" w:rsidRPr="0034148C">
        <w:t xml:space="preserve"> that the baseline survey found that only 4% of local residents said that they earned income from non-agricultural businesses, with an additional 1% with income from producing agricultural processed goods. </w:t>
      </w:r>
      <w:r w:rsidR="00CC2425" w:rsidRPr="0034148C">
        <w:lastRenderedPageBreak/>
        <w:t xml:space="preserve">Only 4% of local residents said that they owned a shop or business. </w:t>
      </w:r>
      <w:r w:rsidR="004F4E73" w:rsidRPr="0034148C">
        <w:t>The baseline report concluded that the prospects of business development were slim:</w:t>
      </w:r>
    </w:p>
    <w:p w:rsidR="004F4E73" w:rsidRPr="0034148C" w:rsidRDefault="004F4E73" w:rsidP="004F4E73">
      <w:pPr>
        <w:pStyle w:val="Quote"/>
      </w:pPr>
      <w:r w:rsidRPr="0034148C">
        <w:t xml:space="preserve">IDPs are generally pessimistic about the prospects for business development because of the lack of money for starting businesses or a market in which to sell goods. </w:t>
      </w:r>
      <w:proofErr w:type="gramStart"/>
      <w:r w:rsidRPr="0034148C">
        <w:t>Even existing businesses are not perceived as successful by locals (GeoWel Research &amp; Caucasus Research Resource Center, 2009:30)</w:t>
      </w:r>
      <w:proofErr w:type="gramEnd"/>
      <w:r w:rsidRPr="0034148C">
        <w:t>.</w:t>
      </w:r>
    </w:p>
    <w:p w:rsidR="004F4E73" w:rsidRPr="0034148C" w:rsidRDefault="004F4E73" w:rsidP="004F4E73">
      <w:r w:rsidRPr="0034148C">
        <w:t>In this context, the level of success achieved by the program may be seen as relatively</w:t>
      </w:r>
      <w:r w:rsidR="00082A79" w:rsidRPr="0034148C">
        <w:t xml:space="preserve"> good; 48 IDPs were still employed by the end of the program, and the wages paid were much higher than those reported in the baseline </w:t>
      </w:r>
      <w:proofErr w:type="gramStart"/>
      <w:r w:rsidR="00082A79" w:rsidRPr="0034148C">
        <w:t>survey</w:t>
      </w:r>
      <w:proofErr w:type="gramEnd"/>
      <w:r w:rsidR="00082A79" w:rsidRPr="0034148C">
        <w:t xml:space="preserve">. </w:t>
      </w:r>
    </w:p>
    <w:p w:rsidR="00672721" w:rsidRPr="0034148C" w:rsidRDefault="00BF2386" w:rsidP="00BF2386">
      <w:pPr>
        <w:pStyle w:val="Heading3"/>
      </w:pPr>
      <w:bookmarkStart w:id="221" w:name="_Toc338717147"/>
      <w:bookmarkStart w:id="222" w:name="_Toc338750179"/>
      <w:bookmarkStart w:id="223" w:name="_Toc339368772"/>
      <w:r w:rsidRPr="0034148C">
        <w:t>4.3.4 Summary</w:t>
      </w:r>
      <w:bookmarkEnd w:id="221"/>
      <w:bookmarkEnd w:id="222"/>
      <w:bookmarkEnd w:id="223"/>
    </w:p>
    <w:p w:rsidR="00060F27" w:rsidRPr="0034148C" w:rsidRDefault="00D91F9C" w:rsidP="00D91F9C">
      <w:pPr>
        <w:rPr>
          <w:lang w:bidi="th-TH"/>
        </w:rPr>
      </w:pPr>
      <w:r>
        <w:rPr>
          <w:lang w:bidi="th-TH"/>
        </w:rPr>
        <w:t>As noted in the one-year evaluation and demonstrated with the project monitoring data here, the grants for jobs project continues to be the</w:t>
      </w:r>
      <w:r w:rsidR="003B7F25">
        <w:rPr>
          <w:lang w:bidi="th-TH"/>
        </w:rPr>
        <w:t xml:space="preserve"> least cost efficient of the SIIMS components. While the project has certainly </w:t>
      </w:r>
      <w:r w:rsidR="00514F50">
        <w:rPr>
          <w:lang w:bidi="th-TH"/>
        </w:rPr>
        <w:t>created employment for some IDPs</w:t>
      </w:r>
      <w:r w:rsidR="005745F2" w:rsidRPr="005745F2">
        <w:rPr>
          <w:rFonts w:ascii="Calibri" w:hAnsi="Calibri" w:cs="Calibri"/>
          <w:lang w:bidi="th-TH"/>
        </w:rPr>
        <w:t>—</w:t>
      </w:r>
      <w:r w:rsidR="005745F2">
        <w:rPr>
          <w:lang w:bidi="th-TH"/>
        </w:rPr>
        <w:t xml:space="preserve">with the advantage of creating </w:t>
      </w:r>
      <w:proofErr w:type="gramStart"/>
      <w:r w:rsidR="005745F2">
        <w:rPr>
          <w:lang w:bidi="th-TH"/>
        </w:rPr>
        <w:t>fairly immediate</w:t>
      </w:r>
      <w:proofErr w:type="gramEnd"/>
      <w:r w:rsidR="005745F2">
        <w:rPr>
          <w:lang w:bidi="th-TH"/>
        </w:rPr>
        <w:t xml:space="preserve"> employment at start-up</w:t>
      </w:r>
      <w:r w:rsidR="005745F2" w:rsidRPr="005745F2">
        <w:rPr>
          <w:rFonts w:ascii="Calibri" w:hAnsi="Calibri" w:cs="Calibri"/>
          <w:lang w:bidi="th-TH"/>
        </w:rPr>
        <w:t>—</w:t>
      </w:r>
      <w:r w:rsidR="00514F50">
        <w:rPr>
          <w:lang w:bidi="th-TH"/>
        </w:rPr>
        <w:t>the up-front cost to create these jobs and the risk in whether the enterprise will succeed are high.</w:t>
      </w:r>
      <w:r w:rsidR="00770884">
        <w:rPr>
          <w:lang w:bidi="th-TH"/>
        </w:rPr>
        <w:t xml:space="preserve"> Moreover, an earlier study found that it is likely that many of the businesses could have received bank loans to expand their enterprise. However, the project has the advantage of giving direct benefits to non-IDPs, and is the only component of SIIMS that does so. </w:t>
      </w:r>
      <w:proofErr w:type="gramStart"/>
      <w:r w:rsidR="00770884">
        <w:rPr>
          <w:lang w:bidi="th-TH"/>
        </w:rPr>
        <w:t>Also</w:t>
      </w:r>
      <w:proofErr w:type="gramEnd"/>
      <w:r w:rsidR="00770884">
        <w:rPr>
          <w:lang w:bidi="th-TH"/>
        </w:rPr>
        <w:t>, the relationships formed by the local business owners and the IDP employees that were described in most of the interviews are strong, and this is an intangible benefit of the project that is difficult to measure.</w:t>
      </w:r>
    </w:p>
    <w:p w:rsidR="007C33B9" w:rsidRPr="0034148C" w:rsidRDefault="007C33B9" w:rsidP="00555BE4">
      <w:pPr>
        <w:pStyle w:val="Heading1"/>
      </w:pPr>
      <w:bookmarkStart w:id="224" w:name="_Toc338325593"/>
      <w:bookmarkStart w:id="225" w:name="_Toc338572135"/>
      <w:bookmarkStart w:id="226" w:name="_Toc338717148"/>
      <w:bookmarkStart w:id="227" w:name="_Toc338750180"/>
      <w:bookmarkStart w:id="228" w:name="_Toc339368773"/>
      <w:r w:rsidRPr="0034148C">
        <w:t>5. Component 2</w:t>
      </w:r>
      <w:r w:rsidRPr="0034148C">
        <w:rPr>
          <w:u w:val="single"/>
        </w:rPr>
        <w:t>:</w:t>
      </w:r>
      <w:r w:rsidRPr="0034148C">
        <w:t xml:space="preserve"> Infrastructure grants</w:t>
      </w:r>
      <w:bookmarkEnd w:id="224"/>
      <w:bookmarkEnd w:id="225"/>
      <w:bookmarkEnd w:id="226"/>
      <w:bookmarkEnd w:id="227"/>
      <w:bookmarkEnd w:id="228"/>
    </w:p>
    <w:p w:rsidR="00490D34" w:rsidRPr="0034148C" w:rsidRDefault="00475419" w:rsidP="004F402C">
      <w:r w:rsidRPr="0034148C">
        <w:t>The second main component of the SIIMS project focused on community development</w:t>
      </w:r>
      <w:r w:rsidR="00886C0A" w:rsidRPr="0034148C">
        <w:t xml:space="preserve">. The Infrastructure Grants program funded social and economic </w:t>
      </w:r>
      <w:r w:rsidRPr="0034148C">
        <w:t xml:space="preserve">community projects </w:t>
      </w:r>
      <w:r w:rsidR="009B79D2" w:rsidRPr="0034148C">
        <w:t xml:space="preserve">that </w:t>
      </w:r>
      <w:proofErr w:type="gramStart"/>
      <w:r w:rsidR="009B79D2" w:rsidRPr="0034148C">
        <w:t xml:space="preserve">were </w:t>
      </w:r>
      <w:r w:rsidR="00886C0A" w:rsidRPr="0034148C">
        <w:t>developed</w:t>
      </w:r>
      <w:proofErr w:type="gramEnd"/>
      <w:r w:rsidR="00886C0A" w:rsidRPr="0034148C">
        <w:t xml:space="preserve"> through a grassroots participatory planning process. The projects </w:t>
      </w:r>
      <w:proofErr w:type="gramStart"/>
      <w:r w:rsidR="00886C0A" w:rsidRPr="0034148C">
        <w:t xml:space="preserve">were jointly planned and implemented by community groups that were composed of both </w:t>
      </w:r>
      <w:r w:rsidR="009B79D2" w:rsidRPr="0034148C">
        <w:t>IDPs and local community members</w:t>
      </w:r>
      <w:proofErr w:type="gramEnd"/>
      <w:r w:rsidR="009B79D2" w:rsidRPr="0034148C">
        <w:t xml:space="preserve">. The process </w:t>
      </w:r>
      <w:r w:rsidR="00886C0A" w:rsidRPr="0034148C">
        <w:t xml:space="preserve">ensured that </w:t>
      </w:r>
      <w:r w:rsidR="00735A67" w:rsidRPr="0034148C">
        <w:t>community needs and priorities</w:t>
      </w:r>
      <w:r w:rsidR="00886C0A" w:rsidRPr="0034148C">
        <w:t xml:space="preserve"> </w:t>
      </w:r>
      <w:proofErr w:type="gramStart"/>
      <w:r w:rsidR="00886C0A" w:rsidRPr="0034148C">
        <w:t>were defined</w:t>
      </w:r>
      <w:proofErr w:type="gramEnd"/>
      <w:r w:rsidR="00886C0A" w:rsidRPr="0034148C">
        <w:t xml:space="preserve"> and that the resulting projects were needed and used by the communities.</w:t>
      </w:r>
      <w:r w:rsidR="00664A4B" w:rsidRPr="0034148C">
        <w:t xml:space="preserve"> Moreover, the process of defining the project, developing the proposal and implementing the grant </w:t>
      </w:r>
      <w:r w:rsidR="00490D34" w:rsidRPr="0034148C">
        <w:t>built</w:t>
      </w:r>
      <w:r w:rsidR="00664A4B" w:rsidRPr="0034148C">
        <w:t xml:space="preserve"> relationships between IDP and local community members.</w:t>
      </w:r>
      <w:r w:rsidR="00886C0A" w:rsidRPr="0034148C">
        <w:t xml:space="preserve"> Each community group provided</w:t>
      </w:r>
      <w:r w:rsidR="00735A67" w:rsidRPr="0034148C">
        <w:t xml:space="preserve"> co-financing </w:t>
      </w:r>
      <w:r w:rsidR="00490D34" w:rsidRPr="0034148C">
        <w:t>for the projects in the form of money, contributed labor, and/or building materials.</w:t>
      </w:r>
    </w:p>
    <w:p w:rsidR="0026257D" w:rsidRPr="0034148C" w:rsidRDefault="00F17118" w:rsidP="004F402C">
      <w:r w:rsidRPr="0034148C">
        <w:t>In t</w:t>
      </w:r>
      <w:r w:rsidR="0026257D" w:rsidRPr="0034148C">
        <w:t>he baseline stud</w:t>
      </w:r>
      <w:r w:rsidRPr="0034148C">
        <w:t xml:space="preserve">y, </w:t>
      </w:r>
      <w:r w:rsidR="0026257D" w:rsidRPr="0034148C">
        <w:t>qualitative research</w:t>
      </w:r>
      <w:r w:rsidRPr="0034148C">
        <w:t xml:space="preserve"> </w:t>
      </w:r>
      <w:proofErr w:type="gramStart"/>
      <w:r w:rsidRPr="0034148C">
        <w:t>was used</w:t>
      </w:r>
      <w:proofErr w:type="gramEnd"/>
      <w:r w:rsidRPr="0034148C">
        <w:t xml:space="preserve"> to</w:t>
      </w:r>
      <w:r w:rsidR="0026257D" w:rsidRPr="0034148C">
        <w:t xml:space="preserve"> identify the critical infrastructure problems in the project communities. </w:t>
      </w:r>
      <w:r w:rsidRPr="0034148C">
        <w:t>T</w:t>
      </w:r>
      <w:r w:rsidR="0026257D" w:rsidRPr="0034148C">
        <w:t>he most pressing general problems, affect</w:t>
      </w:r>
      <w:r w:rsidRPr="0034148C">
        <w:t>ing</w:t>
      </w:r>
      <w:r w:rsidR="0026257D" w:rsidRPr="0034148C">
        <w:t xml:space="preserve"> most communities, were the need for irrigation of agricultural land and the need for better food storage facilities. Critical </w:t>
      </w:r>
      <w:r w:rsidR="00E02922" w:rsidRPr="0034148C">
        <w:t xml:space="preserve">infrastructure </w:t>
      </w:r>
      <w:r w:rsidR="00E02922">
        <w:t>issues</w:t>
      </w:r>
      <w:r w:rsidR="0026257D" w:rsidRPr="0034148C">
        <w:t xml:space="preserve"> that affected some of the communities were the need for better water and sanitation facilities, including poor quality drinking water in some areas and unsanitary conditions in some communities where toilets and bathrooms were located outside the dwellings. Other needs cited in some communities were the need for a bridge to link the settlement with their land plots and the need for transportation to schools that were located </w:t>
      </w:r>
      <w:r w:rsidR="0026257D" w:rsidRPr="0034148C">
        <w:lastRenderedPageBreak/>
        <w:t xml:space="preserve">far away. </w:t>
      </w:r>
      <w:proofErr w:type="gramStart"/>
      <w:r w:rsidR="0026257D" w:rsidRPr="0034148C">
        <w:t>Problems with the physical conditions of the schools were also mentioned by some respondents</w:t>
      </w:r>
      <w:proofErr w:type="gramEnd"/>
      <w:r w:rsidR="0026257D" w:rsidRPr="0034148C">
        <w:t>.</w:t>
      </w:r>
    </w:p>
    <w:p w:rsidR="00701E17" w:rsidRPr="0034148C" w:rsidRDefault="00701E17" w:rsidP="004F402C">
      <w:r w:rsidRPr="0034148C">
        <w:t xml:space="preserve">Project outputs as defined in the logical framework were for IDP and community members to support at least 15 social </w:t>
      </w:r>
      <w:r w:rsidR="00FA15BF">
        <w:t xml:space="preserve">and 15 economic </w:t>
      </w:r>
      <w:r w:rsidRPr="0034148C">
        <w:t>infrastructure projects, contributing to the specific objective of increasing positive interactions between IDPs and local community members.</w:t>
      </w:r>
    </w:p>
    <w:p w:rsidR="009B79D2" w:rsidRPr="0034148C" w:rsidRDefault="009B79D2" w:rsidP="009B79D2">
      <w:pPr>
        <w:pStyle w:val="Heading2"/>
      </w:pPr>
      <w:bookmarkStart w:id="229" w:name="_Toc338717149"/>
      <w:bookmarkStart w:id="230" w:name="_Toc338750181"/>
      <w:bookmarkStart w:id="231" w:name="_Toc339368774"/>
      <w:r w:rsidRPr="0034148C">
        <w:t xml:space="preserve">5.1 Achievements of the </w:t>
      </w:r>
      <w:bookmarkEnd w:id="229"/>
      <w:r w:rsidR="003F652C">
        <w:t>program</w:t>
      </w:r>
      <w:bookmarkEnd w:id="230"/>
      <w:bookmarkEnd w:id="231"/>
    </w:p>
    <w:p w:rsidR="00362615" w:rsidRPr="0034148C" w:rsidRDefault="00362615" w:rsidP="00362615">
      <w:r w:rsidRPr="0034148C">
        <w:t xml:space="preserve">CARE held community meetings that explained the project and formed Local Initiatives Committees to make decisions about community needs and write the grant proposals. The community meetings selected representatives of both local and IDP delegates to form the committee, who </w:t>
      </w:r>
      <w:proofErr w:type="gramStart"/>
      <w:r w:rsidRPr="0034148C">
        <w:t>were selected</w:t>
      </w:r>
      <w:proofErr w:type="gramEnd"/>
      <w:r w:rsidRPr="0034148C">
        <w:t xml:space="preserve"> through anonymous ballot. Every committee contained both men and women, though some projects that required work specific to the skills of either men or women tended to have more members of that gender. Financial documents </w:t>
      </w:r>
      <w:proofErr w:type="gramStart"/>
      <w:r w:rsidRPr="0034148C">
        <w:t>were kept</w:t>
      </w:r>
      <w:proofErr w:type="gramEnd"/>
      <w:r w:rsidRPr="0034148C">
        <w:t xml:space="preserve"> open for any community member to see so that the process was transparent.</w:t>
      </w:r>
      <w:r w:rsidR="002F0A42" w:rsidRPr="0034148C">
        <w:t xml:space="preserve"> </w:t>
      </w:r>
      <w:r w:rsidRPr="0034148C">
        <w:t xml:space="preserve">CARE provided technical assistance on the building projects, sometimes hiring specialists to make financial estimates; but </w:t>
      </w:r>
      <w:proofErr w:type="gramStart"/>
      <w:r w:rsidRPr="0034148C">
        <w:t>all decisions were made by the groups</w:t>
      </w:r>
      <w:proofErr w:type="gramEnd"/>
      <w:r w:rsidRPr="0034148C">
        <w:t xml:space="preserve">. </w:t>
      </w:r>
    </w:p>
    <w:p w:rsidR="001E5F16" w:rsidRPr="0034148C" w:rsidRDefault="001E5F16" w:rsidP="001E5F16">
      <w:r w:rsidRPr="0034148C">
        <w:t>The infrastructure FGD participants said that a large number of people attended these meetings</w:t>
      </w:r>
      <w:r w:rsidRPr="0034148C">
        <w:rPr>
          <w:rFonts w:cs="Calibri"/>
        </w:rPr>
        <w:t xml:space="preserve">—sometimes </w:t>
      </w:r>
      <w:r w:rsidRPr="0034148C">
        <w:t xml:space="preserve">up to 150, both displaced and local. After the meetings, members of the initiative group </w:t>
      </w:r>
      <w:r w:rsidR="00082821" w:rsidRPr="0034148C">
        <w:t>and community leaders</w:t>
      </w:r>
      <w:r w:rsidRPr="0034148C">
        <w:t xml:space="preserve"> went to all households and asked </w:t>
      </w:r>
      <w:r w:rsidR="00082821" w:rsidRPr="0034148C">
        <w:t xml:space="preserve">residents’ </w:t>
      </w:r>
      <w:r w:rsidRPr="0034148C">
        <w:t xml:space="preserve">opinion as to what problems are of first priority. </w:t>
      </w:r>
      <w:r w:rsidR="00082821" w:rsidRPr="0034148C">
        <w:t>O</w:t>
      </w:r>
      <w:r w:rsidRPr="0034148C">
        <w:t xml:space="preserve">nly after this </w:t>
      </w:r>
      <w:r w:rsidR="00082821" w:rsidRPr="0034148C">
        <w:t xml:space="preserve">whole process was the </w:t>
      </w:r>
      <w:r w:rsidRPr="0034148C">
        <w:t>final decision</w:t>
      </w:r>
      <w:r w:rsidR="00743485">
        <w:t xml:space="preserve"> on the</w:t>
      </w:r>
      <w:r w:rsidRPr="0034148C">
        <w:t xml:space="preserve"> </w:t>
      </w:r>
      <w:r w:rsidR="00082821" w:rsidRPr="0034148C">
        <w:t>project</w:t>
      </w:r>
      <w:r w:rsidR="00743485">
        <w:t xml:space="preserve"> made</w:t>
      </w:r>
      <w:r w:rsidRPr="0034148C">
        <w:t xml:space="preserve">. </w:t>
      </w:r>
      <w:r w:rsidR="00082821" w:rsidRPr="0034148C">
        <w:t xml:space="preserve">In this </w:t>
      </w:r>
      <w:proofErr w:type="gramStart"/>
      <w:r w:rsidR="00082821" w:rsidRPr="0034148C">
        <w:t>way</w:t>
      </w:r>
      <w:proofErr w:type="gramEnd"/>
      <w:r w:rsidR="00082821" w:rsidRPr="0034148C">
        <w:t xml:space="preserve"> </w:t>
      </w:r>
      <w:r w:rsidRPr="0034148C">
        <w:t>the population was i</w:t>
      </w:r>
      <w:r w:rsidR="00082821" w:rsidRPr="0034148C">
        <w:t>n</w:t>
      </w:r>
      <w:r w:rsidRPr="0034148C">
        <w:t xml:space="preserve">volved in the planning process from the very beginning. </w:t>
      </w:r>
    </w:p>
    <w:p w:rsidR="009B79D2" w:rsidRPr="0034148C" w:rsidRDefault="001D351B" w:rsidP="009B79D2">
      <w:r w:rsidRPr="0034148C">
        <w:t>The one-year evaluation study reported that the first round of implementation created 14 infrastructure projects, and found that a high degree of community engagement resulted from the joint planning and implementation of the projects</w:t>
      </w:r>
      <w:r w:rsidR="007C0FD1">
        <w:t xml:space="preserve"> (Jafarli, 2010)</w:t>
      </w:r>
      <w:r w:rsidRPr="0034148C">
        <w:t>. The study also determined that a large number of community members were benefitting from the completed projects during the short period of their existence.</w:t>
      </w:r>
    </w:p>
    <w:p w:rsidR="000837A8" w:rsidRPr="0034148C" w:rsidRDefault="000837A8" w:rsidP="009B79D2">
      <w:r w:rsidRPr="0034148C">
        <w:t xml:space="preserve">The total </w:t>
      </w:r>
      <w:proofErr w:type="gramStart"/>
      <w:r w:rsidRPr="0034148C">
        <w:t>number of social and economic projects completed by the program are</w:t>
      </w:r>
      <w:proofErr w:type="gramEnd"/>
      <w:r w:rsidRPr="0034148C">
        <w:t xml:space="preserve"> shown in Table 5.1. </w:t>
      </w:r>
      <w:r w:rsidR="00B917E0" w:rsidRPr="0034148C">
        <w:t>The economic projects included some irrigation and water projects, some</w:t>
      </w:r>
      <w:r w:rsidR="006448E5" w:rsidRPr="0034148C">
        <w:t xml:space="preserve"> that improved</w:t>
      </w:r>
      <w:r w:rsidR="00B917E0" w:rsidRPr="0034148C">
        <w:t xml:space="preserve"> the grounds of the settlement, one kindergarten rehabilitation</w:t>
      </w:r>
      <w:r w:rsidR="006448E5" w:rsidRPr="0034148C">
        <w:t>,</w:t>
      </w:r>
      <w:r w:rsidR="00B917E0" w:rsidRPr="0034148C">
        <w:t xml:space="preserve"> and some community centers, for </w:t>
      </w:r>
      <w:proofErr w:type="gramStart"/>
      <w:r w:rsidR="00B917E0" w:rsidRPr="0034148C">
        <w:t>a total of 16</w:t>
      </w:r>
      <w:proofErr w:type="gramEnd"/>
      <w:r w:rsidR="006448E5" w:rsidRPr="0034148C">
        <w:t xml:space="preserve"> projects</w:t>
      </w:r>
      <w:r w:rsidR="00B917E0" w:rsidRPr="0034148C">
        <w:t xml:space="preserve">. The social projects included 18 school-based projects, 11 recreation facilities and </w:t>
      </w:r>
      <w:proofErr w:type="gramStart"/>
      <w:r w:rsidR="00B917E0" w:rsidRPr="0034148C">
        <w:t>one</w:t>
      </w:r>
      <w:proofErr w:type="gramEnd"/>
      <w:r w:rsidR="00B917E0" w:rsidRPr="0034148C">
        <w:t xml:space="preserve"> cultural center, for a total of 30.</w:t>
      </w:r>
    </w:p>
    <w:p w:rsidR="00B917E0" w:rsidRPr="0034148C" w:rsidRDefault="00B917E0" w:rsidP="00B917E0">
      <w:pPr>
        <w:pStyle w:val="Heading4"/>
      </w:pPr>
      <w:bookmarkStart w:id="232" w:name="_Toc338717201"/>
      <w:bookmarkStart w:id="233" w:name="_Toc338750273"/>
      <w:bookmarkStart w:id="234" w:name="_Toc339368884"/>
      <w:r w:rsidRPr="0034148C">
        <w:t>Table 5.1: Total number of infrastructure projects by type</w:t>
      </w:r>
      <w:bookmarkEnd w:id="232"/>
      <w:bookmarkEnd w:id="233"/>
      <w:bookmarkEnd w:id="234"/>
    </w:p>
    <w:tbl>
      <w:tblPr>
        <w:tblW w:w="7460" w:type="dxa"/>
        <w:jc w:val="center"/>
        <w:tblBorders>
          <w:top w:val="single" w:sz="4" w:space="0" w:color="auto"/>
          <w:left w:val="single" w:sz="4" w:space="0" w:color="auto"/>
          <w:bottom w:val="single" w:sz="4" w:space="0" w:color="auto"/>
          <w:right w:val="single" w:sz="4" w:space="0" w:color="auto"/>
        </w:tblBorders>
        <w:tblLook w:val="04A0"/>
      </w:tblPr>
      <w:tblGrid>
        <w:gridCol w:w="6160"/>
        <w:gridCol w:w="1300"/>
      </w:tblGrid>
      <w:tr w:rsidR="00B917E0" w:rsidRPr="0034148C" w:rsidTr="00490D34">
        <w:trPr>
          <w:trHeight w:val="288"/>
          <w:jc w:val="center"/>
        </w:trPr>
        <w:tc>
          <w:tcPr>
            <w:tcW w:w="6160" w:type="dxa"/>
            <w:shd w:val="clear" w:color="auto" w:fill="auto"/>
            <w:vAlign w:val="center"/>
            <w:hideMark/>
          </w:tcPr>
          <w:p w:rsidR="00B917E0" w:rsidRPr="009B6B07" w:rsidRDefault="00B917E0" w:rsidP="00B917E0">
            <w:pPr>
              <w:spacing w:after="0" w:line="240" w:lineRule="auto"/>
              <w:jc w:val="left"/>
              <w:rPr>
                <w:rFonts w:ascii="Arial" w:eastAsia="Times New Roman" w:hAnsi="Arial" w:cs="Arial"/>
                <w:b/>
                <w:bCs/>
                <w:sz w:val="20"/>
                <w:szCs w:val="20"/>
                <w:lang w:bidi="th-TH"/>
              </w:rPr>
            </w:pPr>
            <w:r w:rsidRPr="009B6B07">
              <w:rPr>
                <w:rFonts w:ascii="Arial" w:eastAsia="Times New Roman" w:hAnsi="Arial" w:cs="Arial"/>
                <w:b/>
                <w:bCs/>
                <w:sz w:val="20"/>
                <w:szCs w:val="20"/>
                <w:lang w:bidi="th-TH"/>
              </w:rPr>
              <w:t>Social Infrastructure Projects</w:t>
            </w:r>
          </w:p>
        </w:tc>
        <w:tc>
          <w:tcPr>
            <w:tcW w:w="1300" w:type="dxa"/>
            <w:shd w:val="clear" w:color="auto" w:fill="auto"/>
            <w:vAlign w:val="center"/>
            <w:hideMark/>
          </w:tcPr>
          <w:p w:rsidR="00B917E0" w:rsidRPr="009B6B07" w:rsidRDefault="00B917E0" w:rsidP="00B917E0">
            <w:pPr>
              <w:spacing w:after="0" w:line="240" w:lineRule="auto"/>
              <w:jc w:val="left"/>
              <w:rPr>
                <w:rFonts w:ascii="Arial" w:eastAsia="Times New Roman" w:hAnsi="Arial" w:cs="Arial"/>
                <w:sz w:val="20"/>
                <w:szCs w:val="20"/>
                <w:lang w:bidi="th-TH"/>
              </w:rPr>
            </w:pPr>
          </w:p>
        </w:tc>
      </w:tr>
      <w:tr w:rsidR="00B917E0" w:rsidRPr="0034148C" w:rsidTr="00490D34">
        <w:trPr>
          <w:trHeight w:val="288"/>
          <w:jc w:val="center"/>
        </w:trPr>
        <w:tc>
          <w:tcPr>
            <w:tcW w:w="6160" w:type="dxa"/>
            <w:shd w:val="clear" w:color="auto" w:fill="auto"/>
            <w:vAlign w:val="center"/>
            <w:hideMark/>
          </w:tcPr>
          <w:p w:rsidR="00B917E0" w:rsidRPr="009B6B07" w:rsidRDefault="00B917E0" w:rsidP="00B917E0">
            <w:pPr>
              <w:spacing w:after="0" w:line="240" w:lineRule="auto"/>
              <w:ind w:left="356"/>
              <w:jc w:val="left"/>
              <w:rPr>
                <w:rFonts w:ascii="Arial" w:eastAsia="Times New Roman" w:hAnsi="Arial" w:cs="Arial"/>
                <w:b/>
                <w:bCs/>
                <w:sz w:val="20"/>
                <w:szCs w:val="20"/>
                <w:lang w:bidi="th-TH"/>
              </w:rPr>
            </w:pPr>
            <w:r w:rsidRPr="009B6B07">
              <w:rPr>
                <w:rFonts w:ascii="Arial" w:eastAsia="Times New Roman" w:hAnsi="Arial" w:cs="Arial"/>
                <w:b/>
                <w:bCs/>
                <w:sz w:val="20"/>
                <w:szCs w:val="20"/>
                <w:lang w:bidi="th-TH"/>
              </w:rPr>
              <w:t>School-based</w:t>
            </w:r>
          </w:p>
        </w:tc>
        <w:tc>
          <w:tcPr>
            <w:tcW w:w="1300" w:type="dxa"/>
            <w:shd w:val="clear" w:color="auto" w:fill="auto"/>
            <w:vAlign w:val="center"/>
            <w:hideMark/>
          </w:tcPr>
          <w:p w:rsidR="00B917E0" w:rsidRPr="009B6B07" w:rsidRDefault="00B917E0" w:rsidP="00B917E0">
            <w:pPr>
              <w:spacing w:after="0" w:line="240" w:lineRule="auto"/>
              <w:jc w:val="right"/>
              <w:rPr>
                <w:rFonts w:ascii="Arial" w:eastAsia="Times New Roman" w:hAnsi="Arial" w:cs="Arial"/>
                <w:b/>
                <w:bCs/>
                <w:sz w:val="20"/>
                <w:szCs w:val="20"/>
                <w:lang w:bidi="th-TH"/>
              </w:rPr>
            </w:pPr>
            <w:r w:rsidRPr="009B6B07">
              <w:rPr>
                <w:rFonts w:ascii="Arial" w:eastAsia="Times New Roman" w:hAnsi="Arial" w:cs="Arial"/>
                <w:b/>
                <w:bCs/>
                <w:sz w:val="20"/>
                <w:szCs w:val="20"/>
                <w:lang w:bidi="th-TH"/>
              </w:rPr>
              <w:t>18</w:t>
            </w:r>
          </w:p>
        </w:tc>
      </w:tr>
      <w:tr w:rsidR="00B917E0" w:rsidRPr="0034148C" w:rsidTr="00490D34">
        <w:trPr>
          <w:trHeight w:val="312"/>
          <w:jc w:val="center"/>
        </w:trPr>
        <w:tc>
          <w:tcPr>
            <w:tcW w:w="6160" w:type="dxa"/>
            <w:shd w:val="clear" w:color="auto" w:fill="auto"/>
            <w:vAlign w:val="center"/>
            <w:hideMark/>
          </w:tcPr>
          <w:p w:rsidR="00B917E0" w:rsidRPr="009B6B07" w:rsidRDefault="00B917E0" w:rsidP="00B917E0">
            <w:pPr>
              <w:spacing w:after="0" w:line="240" w:lineRule="auto"/>
              <w:ind w:left="716"/>
              <w:jc w:val="left"/>
              <w:rPr>
                <w:rFonts w:ascii="Arial" w:eastAsia="Times New Roman" w:hAnsi="Arial" w:cs="Arial"/>
                <w:sz w:val="20"/>
                <w:szCs w:val="20"/>
                <w:lang w:bidi="th-TH"/>
              </w:rPr>
            </w:pPr>
            <w:r w:rsidRPr="009B6B07">
              <w:rPr>
                <w:rFonts w:ascii="Arial" w:eastAsia="Times New Roman" w:hAnsi="Arial" w:cs="Arial"/>
                <w:sz w:val="20"/>
                <w:szCs w:val="20"/>
                <w:lang w:bidi="th-TH"/>
              </w:rPr>
              <w:t>General rehabilitation</w:t>
            </w:r>
          </w:p>
        </w:tc>
        <w:tc>
          <w:tcPr>
            <w:tcW w:w="1300" w:type="dxa"/>
            <w:shd w:val="clear" w:color="auto" w:fill="auto"/>
            <w:vAlign w:val="center"/>
            <w:hideMark/>
          </w:tcPr>
          <w:p w:rsidR="00B917E0" w:rsidRPr="009B6B07" w:rsidRDefault="00B917E0" w:rsidP="00B917E0">
            <w:pPr>
              <w:spacing w:after="0" w:line="240" w:lineRule="auto"/>
              <w:jc w:val="right"/>
              <w:rPr>
                <w:rFonts w:ascii="Arial" w:eastAsia="Times New Roman" w:hAnsi="Arial" w:cs="Arial"/>
                <w:sz w:val="20"/>
                <w:szCs w:val="20"/>
                <w:lang w:bidi="th-TH"/>
              </w:rPr>
            </w:pPr>
            <w:r w:rsidRPr="009B6B07">
              <w:rPr>
                <w:rFonts w:ascii="Arial" w:eastAsia="Times New Roman" w:hAnsi="Arial" w:cs="Arial"/>
                <w:sz w:val="20"/>
                <w:szCs w:val="20"/>
                <w:lang w:bidi="th-TH"/>
              </w:rPr>
              <w:t>5</w:t>
            </w:r>
          </w:p>
        </w:tc>
      </w:tr>
      <w:tr w:rsidR="00B917E0" w:rsidRPr="0034148C" w:rsidTr="00490D34">
        <w:trPr>
          <w:trHeight w:val="288"/>
          <w:jc w:val="center"/>
        </w:trPr>
        <w:tc>
          <w:tcPr>
            <w:tcW w:w="6160" w:type="dxa"/>
            <w:shd w:val="clear" w:color="auto" w:fill="auto"/>
            <w:vAlign w:val="center"/>
            <w:hideMark/>
          </w:tcPr>
          <w:p w:rsidR="00B917E0" w:rsidRPr="009B6B07" w:rsidRDefault="00B917E0" w:rsidP="00B917E0">
            <w:pPr>
              <w:spacing w:after="0" w:line="240" w:lineRule="auto"/>
              <w:ind w:left="716"/>
              <w:jc w:val="left"/>
              <w:rPr>
                <w:rFonts w:ascii="Arial" w:eastAsia="Times New Roman" w:hAnsi="Arial" w:cs="Arial"/>
                <w:sz w:val="20"/>
                <w:szCs w:val="20"/>
                <w:lang w:bidi="th-TH"/>
              </w:rPr>
            </w:pPr>
            <w:r w:rsidRPr="009B6B07">
              <w:rPr>
                <w:rFonts w:ascii="Arial" w:eastAsia="Times New Roman" w:hAnsi="Arial" w:cs="Arial"/>
                <w:sz w:val="20"/>
                <w:szCs w:val="20"/>
                <w:lang w:bidi="th-TH"/>
              </w:rPr>
              <w:t>Library rehabilitation and/or equipping</w:t>
            </w:r>
          </w:p>
        </w:tc>
        <w:tc>
          <w:tcPr>
            <w:tcW w:w="1300" w:type="dxa"/>
            <w:shd w:val="clear" w:color="auto" w:fill="auto"/>
            <w:vAlign w:val="center"/>
            <w:hideMark/>
          </w:tcPr>
          <w:p w:rsidR="00B917E0" w:rsidRPr="009B6B07" w:rsidRDefault="00B917E0" w:rsidP="00B917E0">
            <w:pPr>
              <w:spacing w:after="0" w:line="240" w:lineRule="auto"/>
              <w:jc w:val="right"/>
              <w:rPr>
                <w:rFonts w:ascii="Arial" w:eastAsia="Times New Roman" w:hAnsi="Arial" w:cs="Arial"/>
                <w:sz w:val="20"/>
                <w:szCs w:val="20"/>
                <w:lang w:bidi="th-TH"/>
              </w:rPr>
            </w:pPr>
            <w:r w:rsidRPr="009B6B07">
              <w:rPr>
                <w:rFonts w:ascii="Arial" w:eastAsia="Times New Roman" w:hAnsi="Arial" w:cs="Arial"/>
                <w:sz w:val="20"/>
                <w:szCs w:val="20"/>
                <w:lang w:bidi="th-TH"/>
              </w:rPr>
              <w:t>8</w:t>
            </w:r>
          </w:p>
        </w:tc>
      </w:tr>
      <w:tr w:rsidR="00B917E0" w:rsidRPr="0034148C" w:rsidTr="00490D34">
        <w:trPr>
          <w:trHeight w:val="288"/>
          <w:jc w:val="center"/>
        </w:trPr>
        <w:tc>
          <w:tcPr>
            <w:tcW w:w="6160" w:type="dxa"/>
            <w:shd w:val="clear" w:color="auto" w:fill="auto"/>
            <w:vAlign w:val="center"/>
            <w:hideMark/>
          </w:tcPr>
          <w:p w:rsidR="00B917E0" w:rsidRPr="009B6B07" w:rsidRDefault="00B917E0" w:rsidP="00B917E0">
            <w:pPr>
              <w:spacing w:after="0" w:line="240" w:lineRule="auto"/>
              <w:ind w:left="716"/>
              <w:jc w:val="left"/>
              <w:rPr>
                <w:rFonts w:ascii="Arial" w:eastAsia="Times New Roman" w:hAnsi="Arial" w:cs="Arial"/>
                <w:sz w:val="20"/>
                <w:szCs w:val="20"/>
                <w:lang w:bidi="th-TH"/>
              </w:rPr>
            </w:pPr>
            <w:r w:rsidRPr="009B6B07">
              <w:rPr>
                <w:rFonts w:ascii="Arial" w:eastAsia="Times New Roman" w:hAnsi="Arial" w:cs="Arial"/>
                <w:sz w:val="20"/>
                <w:szCs w:val="20"/>
                <w:lang w:bidi="th-TH"/>
              </w:rPr>
              <w:t>Concert hall rehabilitation and/or equipping</w:t>
            </w:r>
          </w:p>
        </w:tc>
        <w:tc>
          <w:tcPr>
            <w:tcW w:w="1300" w:type="dxa"/>
            <w:shd w:val="clear" w:color="auto" w:fill="auto"/>
            <w:vAlign w:val="center"/>
            <w:hideMark/>
          </w:tcPr>
          <w:p w:rsidR="00B917E0" w:rsidRPr="009B6B07" w:rsidRDefault="00B917E0" w:rsidP="00B917E0">
            <w:pPr>
              <w:spacing w:after="0" w:line="240" w:lineRule="auto"/>
              <w:jc w:val="right"/>
              <w:rPr>
                <w:rFonts w:ascii="Arial" w:eastAsia="Times New Roman" w:hAnsi="Arial" w:cs="Arial"/>
                <w:sz w:val="20"/>
                <w:szCs w:val="20"/>
                <w:lang w:bidi="th-TH"/>
              </w:rPr>
            </w:pPr>
            <w:r w:rsidRPr="009B6B07">
              <w:rPr>
                <w:rFonts w:ascii="Arial" w:eastAsia="Times New Roman" w:hAnsi="Arial" w:cs="Arial"/>
                <w:sz w:val="20"/>
                <w:szCs w:val="20"/>
                <w:lang w:bidi="th-TH"/>
              </w:rPr>
              <w:t>3</w:t>
            </w:r>
          </w:p>
        </w:tc>
      </w:tr>
      <w:tr w:rsidR="00B917E0" w:rsidRPr="0034148C" w:rsidTr="00490D34">
        <w:trPr>
          <w:trHeight w:val="288"/>
          <w:jc w:val="center"/>
        </w:trPr>
        <w:tc>
          <w:tcPr>
            <w:tcW w:w="6160" w:type="dxa"/>
            <w:shd w:val="clear" w:color="auto" w:fill="auto"/>
            <w:vAlign w:val="center"/>
            <w:hideMark/>
          </w:tcPr>
          <w:p w:rsidR="00B917E0" w:rsidRPr="009B6B07" w:rsidRDefault="00B917E0" w:rsidP="00B917E0">
            <w:pPr>
              <w:spacing w:after="0" w:line="240" w:lineRule="auto"/>
              <w:ind w:left="716"/>
              <w:jc w:val="left"/>
              <w:rPr>
                <w:rFonts w:ascii="Arial" w:eastAsia="Times New Roman" w:hAnsi="Arial" w:cs="Arial"/>
                <w:sz w:val="20"/>
                <w:szCs w:val="20"/>
                <w:lang w:bidi="th-TH"/>
              </w:rPr>
            </w:pPr>
            <w:r w:rsidRPr="009B6B07">
              <w:rPr>
                <w:rFonts w:ascii="Arial" w:eastAsia="Times New Roman" w:hAnsi="Arial" w:cs="Arial"/>
                <w:sz w:val="20"/>
                <w:szCs w:val="20"/>
                <w:lang w:bidi="th-TH"/>
              </w:rPr>
              <w:lastRenderedPageBreak/>
              <w:t>Sports club rehabilitation and equipping</w:t>
            </w:r>
          </w:p>
        </w:tc>
        <w:tc>
          <w:tcPr>
            <w:tcW w:w="1300" w:type="dxa"/>
            <w:shd w:val="clear" w:color="auto" w:fill="auto"/>
            <w:vAlign w:val="center"/>
            <w:hideMark/>
          </w:tcPr>
          <w:p w:rsidR="00B917E0" w:rsidRPr="009B6B07" w:rsidRDefault="00B917E0" w:rsidP="00B917E0">
            <w:pPr>
              <w:spacing w:after="0" w:line="240" w:lineRule="auto"/>
              <w:jc w:val="right"/>
              <w:rPr>
                <w:rFonts w:ascii="Arial" w:eastAsia="Times New Roman" w:hAnsi="Arial" w:cs="Arial"/>
                <w:sz w:val="20"/>
                <w:szCs w:val="20"/>
                <w:lang w:bidi="th-TH"/>
              </w:rPr>
            </w:pPr>
            <w:r w:rsidRPr="009B6B07">
              <w:rPr>
                <w:rFonts w:ascii="Arial" w:eastAsia="Times New Roman" w:hAnsi="Arial" w:cs="Arial"/>
                <w:sz w:val="20"/>
                <w:szCs w:val="20"/>
                <w:lang w:bidi="th-TH"/>
              </w:rPr>
              <w:t>1</w:t>
            </w:r>
          </w:p>
        </w:tc>
      </w:tr>
      <w:tr w:rsidR="00B917E0" w:rsidRPr="0034148C" w:rsidTr="00490D34">
        <w:trPr>
          <w:trHeight w:val="288"/>
          <w:jc w:val="center"/>
        </w:trPr>
        <w:tc>
          <w:tcPr>
            <w:tcW w:w="6160" w:type="dxa"/>
            <w:shd w:val="clear" w:color="auto" w:fill="auto"/>
            <w:vAlign w:val="center"/>
            <w:hideMark/>
          </w:tcPr>
          <w:p w:rsidR="00B917E0" w:rsidRPr="009B6B07" w:rsidRDefault="00B917E0" w:rsidP="00B917E0">
            <w:pPr>
              <w:spacing w:after="0" w:line="240" w:lineRule="auto"/>
              <w:ind w:left="716"/>
              <w:jc w:val="left"/>
              <w:rPr>
                <w:rFonts w:ascii="Arial" w:eastAsia="Times New Roman" w:hAnsi="Arial" w:cs="Arial"/>
                <w:sz w:val="20"/>
                <w:szCs w:val="20"/>
                <w:lang w:bidi="th-TH"/>
              </w:rPr>
            </w:pPr>
            <w:r w:rsidRPr="009B6B07">
              <w:rPr>
                <w:rFonts w:ascii="Arial" w:eastAsia="Times New Roman" w:hAnsi="Arial" w:cs="Arial"/>
                <w:sz w:val="20"/>
                <w:szCs w:val="20"/>
                <w:lang w:bidi="th-TH"/>
              </w:rPr>
              <w:t>Combination (e.g. library &amp; concert hall)</w:t>
            </w:r>
          </w:p>
        </w:tc>
        <w:tc>
          <w:tcPr>
            <w:tcW w:w="1300" w:type="dxa"/>
            <w:shd w:val="clear" w:color="auto" w:fill="auto"/>
            <w:vAlign w:val="center"/>
            <w:hideMark/>
          </w:tcPr>
          <w:p w:rsidR="00B917E0" w:rsidRPr="009B6B07" w:rsidRDefault="00B917E0" w:rsidP="00B917E0">
            <w:pPr>
              <w:spacing w:after="0" w:line="240" w:lineRule="auto"/>
              <w:jc w:val="right"/>
              <w:rPr>
                <w:rFonts w:ascii="Arial" w:eastAsia="Times New Roman" w:hAnsi="Arial" w:cs="Arial"/>
                <w:sz w:val="20"/>
                <w:szCs w:val="20"/>
                <w:lang w:bidi="th-TH"/>
              </w:rPr>
            </w:pPr>
            <w:r w:rsidRPr="009B6B07">
              <w:rPr>
                <w:rFonts w:ascii="Arial" w:eastAsia="Times New Roman" w:hAnsi="Arial" w:cs="Arial"/>
                <w:sz w:val="20"/>
                <w:szCs w:val="20"/>
                <w:lang w:bidi="th-TH"/>
              </w:rPr>
              <w:t>1</w:t>
            </w:r>
          </w:p>
        </w:tc>
      </w:tr>
      <w:tr w:rsidR="00B917E0" w:rsidRPr="0034148C" w:rsidTr="00490D34">
        <w:trPr>
          <w:trHeight w:val="264"/>
          <w:jc w:val="center"/>
        </w:trPr>
        <w:tc>
          <w:tcPr>
            <w:tcW w:w="6160" w:type="dxa"/>
            <w:shd w:val="clear" w:color="auto" w:fill="auto"/>
            <w:vAlign w:val="center"/>
            <w:hideMark/>
          </w:tcPr>
          <w:p w:rsidR="00B917E0" w:rsidRPr="009B6B07" w:rsidRDefault="00B917E0" w:rsidP="00B917E0">
            <w:pPr>
              <w:spacing w:after="0" w:line="240" w:lineRule="auto"/>
              <w:ind w:left="356"/>
              <w:jc w:val="left"/>
              <w:rPr>
                <w:rFonts w:ascii="Arial" w:eastAsia="Times New Roman" w:hAnsi="Arial" w:cs="Arial"/>
                <w:b/>
                <w:bCs/>
                <w:sz w:val="20"/>
                <w:szCs w:val="20"/>
                <w:lang w:bidi="th-TH"/>
              </w:rPr>
            </w:pPr>
            <w:r w:rsidRPr="009B6B07">
              <w:rPr>
                <w:rFonts w:ascii="Arial" w:eastAsia="Times New Roman" w:hAnsi="Arial" w:cs="Arial"/>
                <w:b/>
                <w:bCs/>
                <w:sz w:val="20"/>
                <w:szCs w:val="20"/>
                <w:lang w:bidi="th-TH"/>
              </w:rPr>
              <w:t>Recreation facilities</w:t>
            </w:r>
          </w:p>
        </w:tc>
        <w:tc>
          <w:tcPr>
            <w:tcW w:w="1300" w:type="dxa"/>
            <w:shd w:val="clear" w:color="auto" w:fill="auto"/>
            <w:vAlign w:val="center"/>
            <w:hideMark/>
          </w:tcPr>
          <w:p w:rsidR="00B917E0" w:rsidRPr="009B6B07" w:rsidRDefault="00B917E0" w:rsidP="00B917E0">
            <w:pPr>
              <w:spacing w:after="0" w:line="240" w:lineRule="auto"/>
              <w:jc w:val="right"/>
              <w:rPr>
                <w:rFonts w:ascii="Arial" w:eastAsia="Times New Roman" w:hAnsi="Arial" w:cs="Arial"/>
                <w:b/>
                <w:bCs/>
                <w:sz w:val="20"/>
                <w:szCs w:val="20"/>
                <w:lang w:bidi="th-TH"/>
              </w:rPr>
            </w:pPr>
            <w:r w:rsidRPr="009B6B07">
              <w:rPr>
                <w:rFonts w:ascii="Arial" w:eastAsia="Times New Roman" w:hAnsi="Arial" w:cs="Arial"/>
                <w:b/>
                <w:bCs/>
                <w:sz w:val="20"/>
                <w:szCs w:val="20"/>
                <w:lang w:bidi="th-TH"/>
              </w:rPr>
              <w:t>11</w:t>
            </w:r>
          </w:p>
        </w:tc>
      </w:tr>
      <w:tr w:rsidR="00B917E0" w:rsidRPr="0034148C" w:rsidTr="00490D34">
        <w:trPr>
          <w:trHeight w:val="264"/>
          <w:jc w:val="center"/>
        </w:trPr>
        <w:tc>
          <w:tcPr>
            <w:tcW w:w="6160" w:type="dxa"/>
            <w:shd w:val="clear" w:color="auto" w:fill="auto"/>
            <w:vAlign w:val="center"/>
            <w:hideMark/>
          </w:tcPr>
          <w:p w:rsidR="00B917E0" w:rsidRPr="0034148C" w:rsidRDefault="00B917E0" w:rsidP="00B917E0">
            <w:pPr>
              <w:spacing w:after="0" w:line="240" w:lineRule="auto"/>
              <w:ind w:left="716"/>
              <w:jc w:val="left"/>
              <w:rPr>
                <w:rFonts w:ascii="Arial" w:eastAsia="Times New Roman" w:hAnsi="Arial" w:cs="Arial"/>
                <w:sz w:val="20"/>
                <w:szCs w:val="20"/>
                <w:lang w:bidi="th-TH"/>
              </w:rPr>
            </w:pPr>
            <w:r w:rsidRPr="0034148C">
              <w:rPr>
                <w:rFonts w:ascii="Arial" w:eastAsia="Times New Roman" w:hAnsi="Arial" w:cs="Arial"/>
                <w:sz w:val="20"/>
                <w:szCs w:val="20"/>
                <w:lang w:bidi="th-TH"/>
              </w:rPr>
              <w:t>Children's playground</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4</w:t>
            </w:r>
          </w:p>
        </w:tc>
      </w:tr>
      <w:tr w:rsidR="00B917E0" w:rsidRPr="0034148C" w:rsidTr="00490D34">
        <w:trPr>
          <w:trHeight w:val="288"/>
          <w:jc w:val="center"/>
        </w:trPr>
        <w:tc>
          <w:tcPr>
            <w:tcW w:w="6160" w:type="dxa"/>
            <w:shd w:val="clear" w:color="auto" w:fill="auto"/>
            <w:vAlign w:val="center"/>
            <w:hideMark/>
          </w:tcPr>
          <w:p w:rsidR="00B917E0" w:rsidRPr="0034148C" w:rsidRDefault="00B917E0" w:rsidP="00B917E0">
            <w:pPr>
              <w:spacing w:after="0" w:line="240" w:lineRule="auto"/>
              <w:ind w:left="716"/>
              <w:jc w:val="left"/>
              <w:rPr>
                <w:rFonts w:ascii="Arial" w:eastAsia="Times New Roman" w:hAnsi="Arial" w:cs="Arial"/>
                <w:sz w:val="20"/>
                <w:szCs w:val="20"/>
                <w:lang w:bidi="th-TH"/>
              </w:rPr>
            </w:pPr>
            <w:r w:rsidRPr="0034148C">
              <w:rPr>
                <w:rFonts w:ascii="Arial" w:eastAsia="Times New Roman" w:hAnsi="Arial" w:cs="Arial"/>
                <w:sz w:val="20"/>
                <w:szCs w:val="20"/>
                <w:lang w:bidi="th-TH"/>
              </w:rPr>
              <w:t>Wrestling stadium</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1</w:t>
            </w:r>
          </w:p>
        </w:tc>
      </w:tr>
      <w:tr w:rsidR="00B917E0" w:rsidRPr="0034148C" w:rsidTr="00490D34">
        <w:trPr>
          <w:trHeight w:val="288"/>
          <w:jc w:val="center"/>
        </w:trPr>
        <w:tc>
          <w:tcPr>
            <w:tcW w:w="6160" w:type="dxa"/>
            <w:shd w:val="clear" w:color="auto" w:fill="auto"/>
            <w:vAlign w:val="center"/>
            <w:hideMark/>
          </w:tcPr>
          <w:p w:rsidR="00B917E0" w:rsidRPr="0034148C" w:rsidRDefault="00B917E0" w:rsidP="00B917E0">
            <w:pPr>
              <w:spacing w:after="0" w:line="240" w:lineRule="auto"/>
              <w:ind w:left="716"/>
              <w:jc w:val="left"/>
              <w:rPr>
                <w:rFonts w:ascii="Arial" w:eastAsia="Times New Roman" w:hAnsi="Arial" w:cs="Arial"/>
                <w:sz w:val="20"/>
                <w:szCs w:val="20"/>
                <w:lang w:bidi="th-TH"/>
              </w:rPr>
            </w:pPr>
            <w:r w:rsidRPr="0034148C">
              <w:rPr>
                <w:rFonts w:ascii="Arial" w:eastAsia="Times New Roman" w:hAnsi="Arial" w:cs="Arial"/>
                <w:sz w:val="20"/>
                <w:szCs w:val="20"/>
                <w:lang w:bidi="th-TH"/>
              </w:rPr>
              <w:t>Sports ground/sports complex/gym</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5</w:t>
            </w:r>
          </w:p>
        </w:tc>
      </w:tr>
      <w:tr w:rsidR="00B917E0" w:rsidRPr="0034148C" w:rsidTr="00490D34">
        <w:trPr>
          <w:trHeight w:val="288"/>
          <w:jc w:val="center"/>
        </w:trPr>
        <w:tc>
          <w:tcPr>
            <w:tcW w:w="6160" w:type="dxa"/>
            <w:shd w:val="clear" w:color="auto" w:fill="auto"/>
            <w:vAlign w:val="center"/>
            <w:hideMark/>
          </w:tcPr>
          <w:p w:rsidR="00B917E0" w:rsidRPr="0034148C" w:rsidRDefault="00B917E0" w:rsidP="00B917E0">
            <w:pPr>
              <w:spacing w:after="0" w:line="240" w:lineRule="auto"/>
              <w:ind w:left="716"/>
              <w:jc w:val="left"/>
              <w:rPr>
                <w:rFonts w:ascii="Arial" w:eastAsia="Times New Roman" w:hAnsi="Arial" w:cs="Arial"/>
                <w:sz w:val="20"/>
                <w:szCs w:val="20"/>
                <w:lang w:bidi="th-TH"/>
              </w:rPr>
            </w:pPr>
            <w:r w:rsidRPr="0034148C">
              <w:rPr>
                <w:rFonts w:ascii="Arial" w:eastAsia="Times New Roman" w:hAnsi="Arial" w:cs="Arial"/>
                <w:sz w:val="20"/>
                <w:szCs w:val="20"/>
                <w:lang w:bidi="th-TH"/>
              </w:rPr>
              <w:t>Front yard arrangement</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1</w:t>
            </w:r>
          </w:p>
        </w:tc>
      </w:tr>
      <w:tr w:rsidR="00B917E0" w:rsidRPr="0034148C" w:rsidTr="00490D34">
        <w:trPr>
          <w:trHeight w:val="288"/>
          <w:jc w:val="center"/>
        </w:trPr>
        <w:tc>
          <w:tcPr>
            <w:tcW w:w="6160" w:type="dxa"/>
            <w:shd w:val="clear" w:color="auto" w:fill="auto"/>
            <w:vAlign w:val="center"/>
            <w:hideMark/>
          </w:tcPr>
          <w:p w:rsidR="00B917E0" w:rsidRPr="0034148C" w:rsidRDefault="00B917E0" w:rsidP="00B917E0">
            <w:pPr>
              <w:spacing w:after="0" w:line="240" w:lineRule="auto"/>
              <w:ind w:left="356"/>
              <w:jc w:val="left"/>
              <w:rPr>
                <w:rFonts w:ascii="Arial" w:eastAsia="Times New Roman" w:hAnsi="Arial" w:cs="Arial"/>
                <w:b/>
                <w:bCs/>
                <w:sz w:val="20"/>
                <w:szCs w:val="20"/>
                <w:lang w:bidi="th-TH"/>
              </w:rPr>
            </w:pPr>
            <w:r w:rsidRPr="0034148C">
              <w:rPr>
                <w:rFonts w:ascii="Arial" w:eastAsia="Times New Roman" w:hAnsi="Arial" w:cs="Arial"/>
                <w:b/>
                <w:bCs/>
                <w:sz w:val="20"/>
                <w:szCs w:val="20"/>
                <w:lang w:bidi="th-TH"/>
              </w:rPr>
              <w:t>Cultural facility</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b/>
                <w:bCs/>
                <w:sz w:val="20"/>
                <w:szCs w:val="20"/>
                <w:lang w:bidi="th-TH"/>
              </w:rPr>
            </w:pPr>
            <w:r w:rsidRPr="0034148C">
              <w:rPr>
                <w:rFonts w:ascii="Arial" w:eastAsia="Times New Roman" w:hAnsi="Arial" w:cs="Arial"/>
                <w:b/>
                <w:bCs/>
                <w:sz w:val="20"/>
                <w:szCs w:val="20"/>
                <w:lang w:bidi="th-TH"/>
              </w:rPr>
              <w:t>1</w:t>
            </w:r>
          </w:p>
        </w:tc>
      </w:tr>
      <w:tr w:rsidR="00B917E0" w:rsidRPr="0034148C" w:rsidTr="00490D34">
        <w:trPr>
          <w:trHeight w:val="288"/>
          <w:jc w:val="center"/>
        </w:trPr>
        <w:tc>
          <w:tcPr>
            <w:tcW w:w="6160" w:type="dxa"/>
            <w:tcBorders>
              <w:bottom w:val="single" w:sz="4" w:space="0" w:color="auto"/>
            </w:tcBorders>
            <w:shd w:val="clear" w:color="auto" w:fill="auto"/>
            <w:vAlign w:val="center"/>
            <w:hideMark/>
          </w:tcPr>
          <w:p w:rsidR="00B917E0" w:rsidRPr="0034148C" w:rsidRDefault="00B917E0" w:rsidP="00B917E0">
            <w:pPr>
              <w:spacing w:after="0" w:line="240" w:lineRule="auto"/>
              <w:ind w:left="716"/>
              <w:jc w:val="left"/>
              <w:rPr>
                <w:rFonts w:ascii="Arial" w:eastAsia="Times New Roman" w:hAnsi="Arial" w:cs="Arial"/>
                <w:sz w:val="20"/>
                <w:szCs w:val="20"/>
                <w:lang w:bidi="th-TH"/>
              </w:rPr>
            </w:pPr>
            <w:r w:rsidRPr="0034148C">
              <w:rPr>
                <w:rFonts w:ascii="Arial" w:eastAsia="Times New Roman" w:hAnsi="Arial" w:cs="Arial"/>
                <w:sz w:val="20"/>
                <w:szCs w:val="20"/>
                <w:lang w:bidi="th-TH"/>
              </w:rPr>
              <w:t>Culture House</w:t>
            </w:r>
          </w:p>
        </w:tc>
        <w:tc>
          <w:tcPr>
            <w:tcW w:w="1300" w:type="dxa"/>
            <w:tcBorders>
              <w:bottom w:val="single" w:sz="4" w:space="0" w:color="auto"/>
            </w:tcBorders>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1</w:t>
            </w:r>
          </w:p>
        </w:tc>
      </w:tr>
      <w:tr w:rsidR="00B917E0" w:rsidRPr="0034148C" w:rsidTr="00490D34">
        <w:trPr>
          <w:trHeight w:val="288"/>
          <w:jc w:val="center"/>
        </w:trPr>
        <w:tc>
          <w:tcPr>
            <w:tcW w:w="6160" w:type="dxa"/>
            <w:tcBorders>
              <w:top w:val="single" w:sz="4" w:space="0" w:color="auto"/>
              <w:bottom w:val="single" w:sz="4" w:space="0" w:color="auto"/>
            </w:tcBorders>
            <w:shd w:val="clear" w:color="auto" w:fill="auto"/>
            <w:vAlign w:val="center"/>
            <w:hideMark/>
          </w:tcPr>
          <w:p w:rsidR="00B917E0" w:rsidRPr="0034148C" w:rsidRDefault="00B917E0" w:rsidP="00B917E0">
            <w:pPr>
              <w:spacing w:after="0" w:line="240" w:lineRule="auto"/>
              <w:jc w:val="left"/>
              <w:rPr>
                <w:rFonts w:ascii="Arial" w:eastAsia="Times New Roman" w:hAnsi="Arial" w:cs="Arial"/>
                <w:b/>
                <w:bCs/>
                <w:sz w:val="20"/>
                <w:szCs w:val="20"/>
                <w:lang w:bidi="th-TH"/>
              </w:rPr>
            </w:pPr>
            <w:r w:rsidRPr="0034148C">
              <w:rPr>
                <w:rFonts w:ascii="Arial" w:eastAsia="Times New Roman" w:hAnsi="Arial" w:cs="Arial"/>
                <w:b/>
                <w:bCs/>
                <w:sz w:val="20"/>
                <w:szCs w:val="20"/>
                <w:lang w:bidi="th-TH"/>
              </w:rPr>
              <w:t>Total Social</w:t>
            </w:r>
          </w:p>
        </w:tc>
        <w:tc>
          <w:tcPr>
            <w:tcW w:w="1300" w:type="dxa"/>
            <w:tcBorders>
              <w:top w:val="single" w:sz="4" w:space="0" w:color="auto"/>
              <w:bottom w:val="single" w:sz="4" w:space="0" w:color="auto"/>
            </w:tcBorders>
            <w:shd w:val="clear" w:color="auto" w:fill="auto"/>
            <w:vAlign w:val="center"/>
            <w:hideMark/>
          </w:tcPr>
          <w:p w:rsidR="00B917E0" w:rsidRPr="0034148C" w:rsidRDefault="00B917E0" w:rsidP="00B917E0">
            <w:pPr>
              <w:spacing w:after="0" w:line="240" w:lineRule="auto"/>
              <w:jc w:val="right"/>
              <w:rPr>
                <w:rFonts w:ascii="Arial" w:eastAsia="Times New Roman" w:hAnsi="Arial" w:cs="Arial"/>
                <w:b/>
                <w:bCs/>
                <w:sz w:val="20"/>
                <w:szCs w:val="20"/>
                <w:lang w:bidi="th-TH"/>
              </w:rPr>
            </w:pPr>
            <w:r w:rsidRPr="0034148C">
              <w:rPr>
                <w:rFonts w:ascii="Arial" w:eastAsia="Times New Roman" w:hAnsi="Arial" w:cs="Arial"/>
                <w:b/>
                <w:bCs/>
                <w:sz w:val="20"/>
                <w:szCs w:val="20"/>
                <w:lang w:bidi="th-TH"/>
              </w:rPr>
              <w:t>30</w:t>
            </w:r>
          </w:p>
        </w:tc>
      </w:tr>
      <w:tr w:rsidR="00B917E0" w:rsidRPr="0034148C" w:rsidTr="00490D34">
        <w:trPr>
          <w:trHeight w:val="264"/>
          <w:jc w:val="center"/>
        </w:trPr>
        <w:tc>
          <w:tcPr>
            <w:tcW w:w="6160" w:type="dxa"/>
            <w:tcBorders>
              <w:top w:val="single" w:sz="4" w:space="0" w:color="auto"/>
            </w:tcBorders>
            <w:shd w:val="clear" w:color="auto" w:fill="auto"/>
            <w:vAlign w:val="center"/>
            <w:hideMark/>
          </w:tcPr>
          <w:p w:rsidR="00B917E0" w:rsidRPr="0034148C" w:rsidRDefault="00B917E0" w:rsidP="00B917E0">
            <w:pPr>
              <w:spacing w:after="0" w:line="240" w:lineRule="auto"/>
              <w:jc w:val="left"/>
              <w:rPr>
                <w:rFonts w:ascii="Arial" w:eastAsia="Times New Roman" w:hAnsi="Arial" w:cs="Arial"/>
                <w:b/>
                <w:bCs/>
                <w:sz w:val="20"/>
                <w:szCs w:val="20"/>
                <w:lang w:bidi="th-TH"/>
              </w:rPr>
            </w:pPr>
            <w:r w:rsidRPr="0034148C">
              <w:rPr>
                <w:rFonts w:ascii="Arial" w:eastAsia="Times New Roman" w:hAnsi="Arial" w:cs="Arial"/>
                <w:b/>
                <w:bCs/>
                <w:sz w:val="20"/>
                <w:szCs w:val="20"/>
                <w:lang w:bidi="th-TH"/>
              </w:rPr>
              <w:t>Economic Infrastructure Projects</w:t>
            </w:r>
          </w:p>
        </w:tc>
        <w:tc>
          <w:tcPr>
            <w:tcW w:w="1300" w:type="dxa"/>
            <w:tcBorders>
              <w:top w:val="single" w:sz="4" w:space="0" w:color="auto"/>
            </w:tcBorders>
            <w:shd w:val="clear" w:color="auto" w:fill="auto"/>
            <w:vAlign w:val="center"/>
            <w:hideMark/>
          </w:tcPr>
          <w:p w:rsidR="00B917E0" w:rsidRPr="0034148C" w:rsidRDefault="00B917E0" w:rsidP="00B917E0">
            <w:pPr>
              <w:spacing w:after="0" w:line="240" w:lineRule="auto"/>
              <w:jc w:val="left"/>
              <w:rPr>
                <w:rFonts w:ascii="Arial" w:eastAsia="Times New Roman" w:hAnsi="Arial" w:cs="Arial"/>
                <w:sz w:val="20"/>
                <w:szCs w:val="20"/>
                <w:lang w:bidi="th-TH"/>
              </w:rPr>
            </w:pPr>
          </w:p>
        </w:tc>
      </w:tr>
      <w:tr w:rsidR="00B917E0" w:rsidRPr="0034148C" w:rsidTr="00490D34">
        <w:trPr>
          <w:trHeight w:val="264"/>
          <w:jc w:val="center"/>
        </w:trPr>
        <w:tc>
          <w:tcPr>
            <w:tcW w:w="6160" w:type="dxa"/>
            <w:shd w:val="clear" w:color="auto" w:fill="auto"/>
            <w:vAlign w:val="center"/>
            <w:hideMark/>
          </w:tcPr>
          <w:p w:rsidR="00B917E0" w:rsidRPr="0034148C" w:rsidRDefault="00B917E0" w:rsidP="00272E9C">
            <w:pPr>
              <w:spacing w:after="0" w:line="240" w:lineRule="auto"/>
              <w:ind w:left="446"/>
              <w:jc w:val="left"/>
              <w:rPr>
                <w:rFonts w:ascii="Arial" w:eastAsia="Times New Roman" w:hAnsi="Arial" w:cs="Arial"/>
                <w:sz w:val="20"/>
                <w:szCs w:val="20"/>
                <w:lang w:bidi="th-TH"/>
              </w:rPr>
            </w:pPr>
            <w:r w:rsidRPr="0034148C">
              <w:rPr>
                <w:rFonts w:ascii="Arial" w:eastAsia="Times New Roman" w:hAnsi="Arial" w:cs="Arial"/>
                <w:sz w:val="20"/>
                <w:szCs w:val="20"/>
                <w:lang w:bidi="th-TH"/>
              </w:rPr>
              <w:t>Irrigation systems</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5</w:t>
            </w:r>
          </w:p>
        </w:tc>
      </w:tr>
      <w:tr w:rsidR="00B917E0" w:rsidRPr="0034148C" w:rsidTr="00490D34">
        <w:trPr>
          <w:trHeight w:val="264"/>
          <w:jc w:val="center"/>
        </w:trPr>
        <w:tc>
          <w:tcPr>
            <w:tcW w:w="6160" w:type="dxa"/>
            <w:shd w:val="clear" w:color="auto" w:fill="auto"/>
            <w:vAlign w:val="center"/>
            <w:hideMark/>
          </w:tcPr>
          <w:p w:rsidR="00B917E0" w:rsidRPr="0034148C" w:rsidRDefault="00B917E0" w:rsidP="00272E9C">
            <w:pPr>
              <w:spacing w:after="0" w:line="240" w:lineRule="auto"/>
              <w:ind w:left="446"/>
              <w:jc w:val="left"/>
              <w:rPr>
                <w:rFonts w:ascii="Arial" w:eastAsia="Times New Roman" w:hAnsi="Arial" w:cs="Arial"/>
                <w:sz w:val="20"/>
                <w:szCs w:val="20"/>
                <w:lang w:bidi="th-TH"/>
              </w:rPr>
            </w:pPr>
            <w:r w:rsidRPr="0034148C">
              <w:rPr>
                <w:rFonts w:ascii="Arial" w:eastAsia="Times New Roman" w:hAnsi="Arial" w:cs="Arial"/>
                <w:sz w:val="20"/>
                <w:szCs w:val="20"/>
                <w:lang w:bidi="th-TH"/>
              </w:rPr>
              <w:t>Water systems/drainage</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3</w:t>
            </w:r>
          </w:p>
        </w:tc>
      </w:tr>
      <w:tr w:rsidR="00B917E0" w:rsidRPr="0034148C" w:rsidTr="00490D34">
        <w:trPr>
          <w:trHeight w:val="264"/>
          <w:jc w:val="center"/>
        </w:trPr>
        <w:tc>
          <w:tcPr>
            <w:tcW w:w="6160" w:type="dxa"/>
            <w:shd w:val="clear" w:color="auto" w:fill="auto"/>
            <w:vAlign w:val="center"/>
            <w:hideMark/>
          </w:tcPr>
          <w:p w:rsidR="00B917E0" w:rsidRPr="0034148C" w:rsidRDefault="00B917E0" w:rsidP="00272E9C">
            <w:pPr>
              <w:spacing w:after="0" w:line="240" w:lineRule="auto"/>
              <w:ind w:left="446"/>
              <w:jc w:val="left"/>
              <w:rPr>
                <w:rFonts w:ascii="Arial" w:eastAsia="Times New Roman" w:hAnsi="Arial" w:cs="Arial"/>
                <w:sz w:val="20"/>
                <w:szCs w:val="20"/>
                <w:lang w:bidi="th-TH"/>
              </w:rPr>
            </w:pPr>
            <w:r w:rsidRPr="0034148C">
              <w:rPr>
                <w:rFonts w:ascii="Arial" w:eastAsia="Times New Roman" w:hAnsi="Arial" w:cs="Arial"/>
                <w:sz w:val="20"/>
                <w:szCs w:val="20"/>
                <w:lang w:bidi="th-TH"/>
              </w:rPr>
              <w:t>Collective center/ritual house</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2</w:t>
            </w:r>
          </w:p>
        </w:tc>
      </w:tr>
      <w:tr w:rsidR="00B917E0" w:rsidRPr="0034148C" w:rsidTr="00490D34">
        <w:trPr>
          <w:trHeight w:val="264"/>
          <w:jc w:val="center"/>
        </w:trPr>
        <w:tc>
          <w:tcPr>
            <w:tcW w:w="6160" w:type="dxa"/>
            <w:shd w:val="clear" w:color="auto" w:fill="auto"/>
            <w:vAlign w:val="center"/>
            <w:hideMark/>
          </w:tcPr>
          <w:p w:rsidR="00B917E0" w:rsidRPr="0034148C" w:rsidRDefault="00B917E0" w:rsidP="00272E9C">
            <w:pPr>
              <w:spacing w:after="0" w:line="240" w:lineRule="auto"/>
              <w:ind w:left="446"/>
              <w:jc w:val="left"/>
              <w:rPr>
                <w:rFonts w:ascii="Arial" w:eastAsia="Times New Roman" w:hAnsi="Arial" w:cs="Arial"/>
                <w:sz w:val="20"/>
                <w:szCs w:val="20"/>
                <w:lang w:bidi="th-TH"/>
              </w:rPr>
            </w:pPr>
            <w:r w:rsidRPr="0034148C">
              <w:rPr>
                <w:rFonts w:ascii="Arial" w:eastAsia="Times New Roman" w:hAnsi="Arial" w:cs="Arial"/>
                <w:sz w:val="20"/>
                <w:szCs w:val="20"/>
                <w:lang w:bidi="th-TH"/>
              </w:rPr>
              <w:t>Fencing/front yard</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2</w:t>
            </w:r>
          </w:p>
        </w:tc>
      </w:tr>
      <w:tr w:rsidR="00B917E0" w:rsidRPr="0034148C" w:rsidTr="00490D34">
        <w:trPr>
          <w:trHeight w:val="264"/>
          <w:jc w:val="center"/>
        </w:trPr>
        <w:tc>
          <w:tcPr>
            <w:tcW w:w="6160" w:type="dxa"/>
            <w:shd w:val="clear" w:color="auto" w:fill="auto"/>
            <w:vAlign w:val="center"/>
            <w:hideMark/>
          </w:tcPr>
          <w:p w:rsidR="00B917E0" w:rsidRPr="0034148C" w:rsidRDefault="00B917E0" w:rsidP="00272E9C">
            <w:pPr>
              <w:spacing w:after="0" w:line="240" w:lineRule="auto"/>
              <w:ind w:left="446"/>
              <w:jc w:val="left"/>
              <w:rPr>
                <w:rFonts w:ascii="Arial" w:eastAsia="Times New Roman" w:hAnsi="Arial" w:cs="Arial"/>
                <w:sz w:val="20"/>
                <w:szCs w:val="20"/>
                <w:lang w:bidi="th-TH"/>
              </w:rPr>
            </w:pPr>
            <w:r w:rsidRPr="0034148C">
              <w:rPr>
                <w:rFonts w:ascii="Arial" w:eastAsia="Times New Roman" w:hAnsi="Arial" w:cs="Arial"/>
                <w:sz w:val="20"/>
                <w:szCs w:val="20"/>
                <w:lang w:bidi="th-TH"/>
              </w:rPr>
              <w:t>Kindergarten Rehabilitation</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1</w:t>
            </w:r>
          </w:p>
        </w:tc>
      </w:tr>
      <w:tr w:rsidR="00B917E0" w:rsidRPr="0034148C" w:rsidTr="00490D34">
        <w:trPr>
          <w:trHeight w:val="264"/>
          <w:jc w:val="center"/>
        </w:trPr>
        <w:tc>
          <w:tcPr>
            <w:tcW w:w="6160" w:type="dxa"/>
            <w:shd w:val="clear" w:color="auto" w:fill="auto"/>
            <w:vAlign w:val="center"/>
            <w:hideMark/>
          </w:tcPr>
          <w:p w:rsidR="00B917E0" w:rsidRPr="0034148C" w:rsidRDefault="00B917E0" w:rsidP="00272E9C">
            <w:pPr>
              <w:spacing w:after="0" w:line="240" w:lineRule="auto"/>
              <w:ind w:left="446"/>
              <w:jc w:val="left"/>
              <w:rPr>
                <w:rFonts w:ascii="Arial" w:eastAsia="Times New Roman" w:hAnsi="Arial" w:cs="Arial"/>
                <w:sz w:val="20"/>
                <w:szCs w:val="20"/>
                <w:lang w:bidi="th-TH"/>
              </w:rPr>
            </w:pPr>
            <w:r w:rsidRPr="0034148C">
              <w:rPr>
                <w:rFonts w:ascii="Arial" w:eastAsia="Times New Roman" w:hAnsi="Arial" w:cs="Arial"/>
                <w:sz w:val="20"/>
                <w:szCs w:val="20"/>
                <w:lang w:bidi="th-TH"/>
              </w:rPr>
              <w:t>Combination (e.g. fencing, water)</w:t>
            </w:r>
          </w:p>
        </w:tc>
        <w:tc>
          <w:tcPr>
            <w:tcW w:w="1300" w:type="dxa"/>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2</w:t>
            </w:r>
          </w:p>
        </w:tc>
      </w:tr>
      <w:tr w:rsidR="00B917E0" w:rsidRPr="0034148C" w:rsidTr="00490D34">
        <w:trPr>
          <w:trHeight w:val="264"/>
          <w:jc w:val="center"/>
        </w:trPr>
        <w:tc>
          <w:tcPr>
            <w:tcW w:w="6160" w:type="dxa"/>
            <w:tcBorders>
              <w:bottom w:val="single" w:sz="4" w:space="0" w:color="auto"/>
            </w:tcBorders>
            <w:shd w:val="clear" w:color="auto" w:fill="auto"/>
            <w:vAlign w:val="center"/>
            <w:hideMark/>
          </w:tcPr>
          <w:p w:rsidR="00B917E0" w:rsidRPr="0034148C" w:rsidRDefault="00B917E0" w:rsidP="00272E9C">
            <w:pPr>
              <w:spacing w:after="0" w:line="240" w:lineRule="auto"/>
              <w:ind w:left="446"/>
              <w:jc w:val="left"/>
              <w:rPr>
                <w:rFonts w:ascii="Arial" w:eastAsia="Times New Roman" w:hAnsi="Arial" w:cs="Arial"/>
                <w:sz w:val="20"/>
                <w:szCs w:val="20"/>
                <w:lang w:bidi="th-TH"/>
              </w:rPr>
            </w:pPr>
            <w:r w:rsidRPr="0034148C">
              <w:rPr>
                <w:rFonts w:ascii="Arial" w:eastAsia="Times New Roman" w:hAnsi="Arial" w:cs="Arial"/>
                <w:sz w:val="20"/>
                <w:szCs w:val="20"/>
                <w:lang w:bidi="th-TH"/>
              </w:rPr>
              <w:t>Transport</w:t>
            </w:r>
          </w:p>
        </w:tc>
        <w:tc>
          <w:tcPr>
            <w:tcW w:w="1300" w:type="dxa"/>
            <w:tcBorders>
              <w:bottom w:val="single" w:sz="4" w:space="0" w:color="auto"/>
            </w:tcBorders>
            <w:shd w:val="clear" w:color="auto" w:fill="auto"/>
            <w:vAlign w:val="center"/>
            <w:hideMark/>
          </w:tcPr>
          <w:p w:rsidR="00B917E0" w:rsidRPr="0034148C" w:rsidRDefault="00B917E0" w:rsidP="00B917E0">
            <w:pPr>
              <w:spacing w:after="0" w:line="240" w:lineRule="auto"/>
              <w:jc w:val="right"/>
              <w:rPr>
                <w:rFonts w:ascii="Arial" w:eastAsia="Times New Roman" w:hAnsi="Arial" w:cs="Arial"/>
                <w:sz w:val="20"/>
                <w:szCs w:val="20"/>
                <w:lang w:bidi="th-TH"/>
              </w:rPr>
            </w:pPr>
            <w:r w:rsidRPr="0034148C">
              <w:rPr>
                <w:rFonts w:ascii="Arial" w:eastAsia="Times New Roman" w:hAnsi="Arial" w:cs="Arial"/>
                <w:sz w:val="20"/>
                <w:szCs w:val="20"/>
                <w:lang w:bidi="th-TH"/>
              </w:rPr>
              <w:t>1</w:t>
            </w:r>
          </w:p>
        </w:tc>
      </w:tr>
      <w:tr w:rsidR="00B917E0" w:rsidRPr="0034148C" w:rsidTr="00490D34">
        <w:trPr>
          <w:trHeight w:val="264"/>
          <w:jc w:val="center"/>
        </w:trPr>
        <w:tc>
          <w:tcPr>
            <w:tcW w:w="6160" w:type="dxa"/>
            <w:tcBorders>
              <w:top w:val="single" w:sz="4" w:space="0" w:color="auto"/>
              <w:bottom w:val="single" w:sz="4" w:space="0" w:color="auto"/>
            </w:tcBorders>
            <w:shd w:val="clear" w:color="auto" w:fill="auto"/>
            <w:vAlign w:val="center"/>
            <w:hideMark/>
          </w:tcPr>
          <w:p w:rsidR="00B917E0" w:rsidRPr="0034148C" w:rsidRDefault="00B917E0" w:rsidP="00B917E0">
            <w:pPr>
              <w:spacing w:after="0" w:line="240" w:lineRule="auto"/>
              <w:jc w:val="left"/>
              <w:rPr>
                <w:rFonts w:ascii="Arial" w:eastAsia="Times New Roman" w:hAnsi="Arial" w:cs="Arial"/>
                <w:b/>
                <w:bCs/>
                <w:sz w:val="20"/>
                <w:szCs w:val="20"/>
                <w:lang w:bidi="th-TH"/>
              </w:rPr>
            </w:pPr>
            <w:r w:rsidRPr="0034148C">
              <w:rPr>
                <w:rFonts w:ascii="Arial" w:eastAsia="Times New Roman" w:hAnsi="Arial" w:cs="Arial"/>
                <w:b/>
                <w:bCs/>
                <w:sz w:val="20"/>
                <w:szCs w:val="20"/>
                <w:lang w:bidi="th-TH"/>
              </w:rPr>
              <w:t>Total Economic</w:t>
            </w:r>
          </w:p>
        </w:tc>
        <w:tc>
          <w:tcPr>
            <w:tcW w:w="1300" w:type="dxa"/>
            <w:tcBorders>
              <w:top w:val="single" w:sz="4" w:space="0" w:color="auto"/>
              <w:bottom w:val="single" w:sz="4" w:space="0" w:color="auto"/>
            </w:tcBorders>
            <w:shd w:val="clear" w:color="auto" w:fill="auto"/>
            <w:vAlign w:val="center"/>
            <w:hideMark/>
          </w:tcPr>
          <w:p w:rsidR="00B917E0" w:rsidRPr="0034148C" w:rsidRDefault="00B917E0" w:rsidP="00B917E0">
            <w:pPr>
              <w:spacing w:after="0" w:line="240" w:lineRule="auto"/>
              <w:jc w:val="right"/>
              <w:rPr>
                <w:rFonts w:ascii="Arial" w:eastAsia="Times New Roman" w:hAnsi="Arial" w:cs="Arial"/>
                <w:b/>
                <w:bCs/>
                <w:sz w:val="20"/>
                <w:szCs w:val="20"/>
                <w:lang w:bidi="th-TH"/>
              </w:rPr>
            </w:pPr>
            <w:r w:rsidRPr="0034148C">
              <w:rPr>
                <w:rFonts w:ascii="Arial" w:eastAsia="Times New Roman" w:hAnsi="Arial" w:cs="Arial"/>
                <w:b/>
                <w:bCs/>
                <w:sz w:val="20"/>
                <w:szCs w:val="20"/>
                <w:lang w:bidi="th-TH"/>
              </w:rPr>
              <w:t>16</w:t>
            </w:r>
          </w:p>
        </w:tc>
      </w:tr>
      <w:tr w:rsidR="00B917E0" w:rsidRPr="0034148C" w:rsidTr="00490D34">
        <w:trPr>
          <w:trHeight w:val="264"/>
          <w:jc w:val="center"/>
        </w:trPr>
        <w:tc>
          <w:tcPr>
            <w:tcW w:w="6160" w:type="dxa"/>
            <w:tcBorders>
              <w:top w:val="single" w:sz="4" w:space="0" w:color="auto"/>
            </w:tcBorders>
            <w:shd w:val="clear" w:color="auto" w:fill="auto"/>
            <w:vAlign w:val="center"/>
            <w:hideMark/>
          </w:tcPr>
          <w:p w:rsidR="00B917E0" w:rsidRPr="0034148C" w:rsidRDefault="00272E9C" w:rsidP="00B917E0">
            <w:pPr>
              <w:spacing w:after="0" w:line="240" w:lineRule="auto"/>
              <w:jc w:val="left"/>
              <w:rPr>
                <w:rFonts w:ascii="Arial" w:eastAsia="Times New Roman" w:hAnsi="Arial" w:cs="Arial"/>
                <w:b/>
                <w:bCs/>
                <w:sz w:val="20"/>
                <w:szCs w:val="20"/>
                <w:lang w:bidi="th-TH"/>
              </w:rPr>
            </w:pPr>
            <w:r w:rsidRPr="0034148C">
              <w:rPr>
                <w:rFonts w:ascii="Arial" w:eastAsia="Times New Roman" w:hAnsi="Arial" w:cs="Arial"/>
                <w:b/>
                <w:bCs/>
                <w:sz w:val="20"/>
                <w:szCs w:val="20"/>
                <w:lang w:bidi="th-TH"/>
              </w:rPr>
              <w:t>Grand total</w:t>
            </w:r>
          </w:p>
        </w:tc>
        <w:tc>
          <w:tcPr>
            <w:tcW w:w="1300" w:type="dxa"/>
            <w:tcBorders>
              <w:top w:val="single" w:sz="4" w:space="0" w:color="auto"/>
            </w:tcBorders>
            <w:shd w:val="clear" w:color="auto" w:fill="auto"/>
            <w:vAlign w:val="center"/>
            <w:hideMark/>
          </w:tcPr>
          <w:p w:rsidR="00B917E0" w:rsidRPr="0034148C" w:rsidRDefault="00272E9C" w:rsidP="00B917E0">
            <w:pPr>
              <w:spacing w:after="0" w:line="240" w:lineRule="auto"/>
              <w:jc w:val="right"/>
              <w:rPr>
                <w:rFonts w:ascii="Arial" w:eastAsia="Times New Roman" w:hAnsi="Arial" w:cs="Arial"/>
                <w:b/>
                <w:bCs/>
                <w:sz w:val="20"/>
                <w:szCs w:val="20"/>
                <w:lang w:bidi="th-TH"/>
              </w:rPr>
            </w:pPr>
            <w:r w:rsidRPr="0034148C">
              <w:rPr>
                <w:rFonts w:ascii="Arial" w:eastAsia="Times New Roman" w:hAnsi="Arial" w:cs="Arial"/>
                <w:b/>
                <w:bCs/>
                <w:sz w:val="20"/>
                <w:szCs w:val="20"/>
                <w:lang w:bidi="th-TH"/>
              </w:rPr>
              <w:t>46</w:t>
            </w:r>
          </w:p>
        </w:tc>
      </w:tr>
    </w:tbl>
    <w:p w:rsidR="00B917E0" w:rsidRDefault="002B3758" w:rsidP="002B3758">
      <w:pPr>
        <w:pStyle w:val="Figurenote"/>
      </w:pPr>
      <w:r>
        <w:tab/>
      </w:r>
      <w:r>
        <w:tab/>
        <w:t>Source: Project monitoring database</w:t>
      </w:r>
    </w:p>
    <w:p w:rsidR="002B3758" w:rsidRPr="0034148C" w:rsidRDefault="002B3758" w:rsidP="002B3758">
      <w:pPr>
        <w:pStyle w:val="Figurenote"/>
      </w:pPr>
    </w:p>
    <w:p w:rsidR="00527D70" w:rsidRPr="0034148C" w:rsidRDefault="00272E9C" w:rsidP="00527D70">
      <w:r w:rsidRPr="0034148C">
        <w:t xml:space="preserve">Figure 5.1 </w:t>
      </w:r>
      <w:r w:rsidR="00C82F13" w:rsidRPr="0034148C">
        <w:t xml:space="preserve">and Table 5.2 </w:t>
      </w:r>
      <w:r w:rsidRPr="0034148C">
        <w:t xml:space="preserve">shows how the projects </w:t>
      </w:r>
      <w:proofErr w:type="gramStart"/>
      <w:r w:rsidRPr="0034148C">
        <w:t>were financed</w:t>
      </w:r>
      <w:proofErr w:type="gramEnd"/>
      <w:r w:rsidRPr="0034148C">
        <w:t xml:space="preserve">. In total, </w:t>
      </w:r>
      <w:r w:rsidR="00527D70" w:rsidRPr="0034148C">
        <w:t xml:space="preserve">the CARE initiative funded about 69% of the cost of the projects. Through CARE’s work with municipalities and governments, they were able </w:t>
      </w:r>
      <w:proofErr w:type="gramStart"/>
      <w:r w:rsidR="00527D70" w:rsidRPr="0034148C">
        <w:t>to successfully secure</w:t>
      </w:r>
      <w:proofErr w:type="gramEnd"/>
      <w:r w:rsidR="00527D70" w:rsidRPr="0034148C">
        <w:t xml:space="preserve"> a commitment to 10% funding for the projects in Gori municipality. </w:t>
      </w:r>
      <w:r w:rsidR="00B47B4B">
        <w:t xml:space="preserve">For one economic project, the cost of a license </w:t>
      </w:r>
      <w:proofErr w:type="gramStart"/>
      <w:r w:rsidR="00B47B4B">
        <w:t>was waived</w:t>
      </w:r>
      <w:proofErr w:type="gramEnd"/>
      <w:r w:rsidR="00B47B4B">
        <w:t xml:space="preserve"> and this was counted as a g</w:t>
      </w:r>
      <w:r w:rsidR="00C213ED">
        <w:t xml:space="preserve">overnment contribution. </w:t>
      </w:r>
      <w:r w:rsidR="00527D70" w:rsidRPr="0034148C">
        <w:t xml:space="preserve">The school-based </w:t>
      </w:r>
      <w:r w:rsidR="00527D70" w:rsidRPr="000E4440">
        <w:t xml:space="preserve">projects </w:t>
      </w:r>
      <w:r w:rsidR="000E4440">
        <w:t xml:space="preserve">also </w:t>
      </w:r>
      <w:r w:rsidR="00527D70" w:rsidRPr="000E4440">
        <w:t xml:space="preserve">received </w:t>
      </w:r>
      <w:r w:rsidR="000E4440">
        <w:t>co-</w:t>
      </w:r>
      <w:r w:rsidR="00527D70" w:rsidRPr="000E4440">
        <w:t>funding from the schools</w:t>
      </w:r>
      <w:r w:rsidR="000E4440">
        <w:t xml:space="preserve">, which is considered </w:t>
      </w:r>
      <w:proofErr w:type="gramStart"/>
      <w:r w:rsidR="000E4440">
        <w:t>to be part</w:t>
      </w:r>
      <w:proofErr w:type="gramEnd"/>
      <w:r w:rsidR="000E4440">
        <w:t xml:space="preserve"> of the governmental contribution</w:t>
      </w:r>
      <w:r w:rsidR="00527D70" w:rsidRPr="000E4440">
        <w:t>. The</w:t>
      </w:r>
      <w:r w:rsidR="00527D70" w:rsidRPr="0034148C">
        <w:t xml:space="preserve"> </w:t>
      </w:r>
      <w:proofErr w:type="gramStart"/>
      <w:r w:rsidR="00527D70" w:rsidRPr="0034148C">
        <w:t>remainder of the cost was contributed by the community groups</w:t>
      </w:r>
      <w:proofErr w:type="gramEnd"/>
      <w:r w:rsidR="00527D70" w:rsidRPr="0034148C">
        <w:t xml:space="preserve">. Overall, </w:t>
      </w:r>
      <w:proofErr w:type="gramStart"/>
      <w:r w:rsidR="00CD35A7" w:rsidRPr="0034148C">
        <w:t>about 1</w:t>
      </w:r>
      <w:r w:rsidR="00C213ED">
        <w:t>4</w:t>
      </w:r>
      <w:r w:rsidR="00CD35A7" w:rsidRPr="0034148C">
        <w:t>% of the total cost of the project was covered by the community, mainly through labor contributions</w:t>
      </w:r>
      <w:proofErr w:type="gramEnd"/>
      <w:r w:rsidR="00CD35A7" w:rsidRPr="0034148C">
        <w:t>.</w:t>
      </w:r>
    </w:p>
    <w:p w:rsidR="00272E9C" w:rsidRPr="0034148C" w:rsidRDefault="00691806" w:rsidP="00BE585D">
      <w:pPr>
        <w:pStyle w:val="Heading5"/>
      </w:pPr>
      <w:r w:rsidRPr="0034148C">
        <w:rPr>
          <w:noProof/>
          <w:lang w:bidi="th-TH"/>
        </w:rPr>
        <w:drawing>
          <wp:anchor distT="0" distB="0" distL="114300" distR="114300" simplePos="0" relativeHeight="251687936" behindDoc="0" locked="0" layoutInCell="1" allowOverlap="1">
            <wp:simplePos x="0" y="0"/>
            <wp:positionH relativeFrom="margin">
              <wp:posOffset>3008630</wp:posOffset>
            </wp:positionH>
            <wp:positionV relativeFrom="paragraph">
              <wp:posOffset>474980</wp:posOffset>
            </wp:positionV>
            <wp:extent cx="3011170" cy="1920240"/>
            <wp:effectExtent l="19050" t="0" r="17780" b="3810"/>
            <wp:wrapTopAndBottom/>
            <wp:docPr id="1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34148C">
        <w:rPr>
          <w:noProof/>
          <w:lang w:bidi="th-TH"/>
        </w:rPr>
        <w:drawing>
          <wp:anchor distT="0" distB="0" distL="114300" distR="114300" simplePos="0" relativeHeight="251685888" behindDoc="0" locked="0" layoutInCell="1" allowOverlap="1">
            <wp:simplePos x="0" y="0"/>
            <wp:positionH relativeFrom="margin">
              <wp:posOffset>-306070</wp:posOffset>
            </wp:positionH>
            <wp:positionV relativeFrom="paragraph">
              <wp:posOffset>474980</wp:posOffset>
            </wp:positionV>
            <wp:extent cx="3314700" cy="1916430"/>
            <wp:effectExtent l="19050" t="0" r="19050" b="7620"/>
            <wp:wrapTopAndBottom/>
            <wp:docPr id="1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27741C" w:rsidRPr="0034148C">
        <w:rPr>
          <w:lang w:bidi="th-TH"/>
        </w:rPr>
        <w:t xml:space="preserve"> </w:t>
      </w:r>
      <w:bookmarkStart w:id="235" w:name="_Toc338717184"/>
      <w:bookmarkStart w:id="236" w:name="_Toc338750250"/>
      <w:bookmarkStart w:id="237" w:name="_Toc339368819"/>
      <w:r w:rsidR="00272E9C" w:rsidRPr="0034148C">
        <w:t xml:space="preserve">Figure 5.1: </w:t>
      </w:r>
      <w:r w:rsidRPr="0034148C">
        <w:t>Source of f</w:t>
      </w:r>
      <w:r w:rsidR="00272E9C" w:rsidRPr="0034148C">
        <w:t>inancing for Social and Economic Infrastructure projects (in USD)</w:t>
      </w:r>
      <w:bookmarkEnd w:id="235"/>
      <w:bookmarkEnd w:id="236"/>
      <w:bookmarkEnd w:id="237"/>
    </w:p>
    <w:p w:rsidR="00272E9C" w:rsidRPr="0034148C" w:rsidRDefault="00527D70" w:rsidP="00527D70">
      <w:pPr>
        <w:pStyle w:val="Figurenote"/>
      </w:pPr>
      <w:proofErr w:type="gramStart"/>
      <w:r w:rsidRPr="0034148C">
        <w:t>Source: Project monitoring database.</w:t>
      </w:r>
      <w:proofErr w:type="gramEnd"/>
    </w:p>
    <w:p w:rsidR="00272E9C" w:rsidRPr="0034148C" w:rsidRDefault="00691806" w:rsidP="00BE585D">
      <w:pPr>
        <w:pStyle w:val="Heading5"/>
      </w:pPr>
      <w:bookmarkStart w:id="238" w:name="_Toc338717185"/>
      <w:bookmarkStart w:id="239" w:name="_Toc338750251"/>
      <w:bookmarkStart w:id="240" w:name="_Toc339368820"/>
      <w:r w:rsidRPr="0034148C">
        <w:lastRenderedPageBreak/>
        <w:t>Table 5.2: Amount and percentage of financing by source for Social and Economic Infrastructure projects</w:t>
      </w:r>
      <w:bookmarkEnd w:id="238"/>
      <w:bookmarkEnd w:id="239"/>
      <w:bookmarkEnd w:id="240"/>
    </w:p>
    <w:tbl>
      <w:tblPr>
        <w:tblW w:w="4957" w:type="pct"/>
        <w:tblInd w:w="9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tblPr>
      <w:tblGrid>
        <w:gridCol w:w="1912"/>
        <w:gridCol w:w="1136"/>
        <w:gridCol w:w="1204"/>
        <w:gridCol w:w="1480"/>
        <w:gridCol w:w="1130"/>
        <w:gridCol w:w="1420"/>
        <w:gridCol w:w="1220"/>
      </w:tblGrid>
      <w:tr w:rsidR="00FF614E" w:rsidRPr="0034148C" w:rsidTr="00975152">
        <w:trPr>
          <w:trHeight w:val="264"/>
        </w:trPr>
        <w:tc>
          <w:tcPr>
            <w:tcW w:w="1904" w:type="dxa"/>
            <w:tcBorders>
              <w:top w:val="single" w:sz="4" w:space="0" w:color="auto"/>
              <w:bottom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p>
        </w:tc>
        <w:tc>
          <w:tcPr>
            <w:tcW w:w="2340" w:type="dxa"/>
            <w:gridSpan w:val="2"/>
            <w:tcBorders>
              <w:top w:val="single" w:sz="4" w:space="0" w:color="auto"/>
              <w:bottom w:val="single" w:sz="4" w:space="0" w:color="auto"/>
              <w:right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Economic</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Social</w:t>
            </w:r>
          </w:p>
        </w:tc>
        <w:tc>
          <w:tcPr>
            <w:tcW w:w="2640" w:type="dxa"/>
            <w:gridSpan w:val="2"/>
            <w:tcBorders>
              <w:top w:val="single" w:sz="4" w:space="0" w:color="auto"/>
              <w:left w:val="single" w:sz="4" w:space="0" w:color="auto"/>
              <w:bottom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Total</w:t>
            </w:r>
          </w:p>
        </w:tc>
      </w:tr>
      <w:tr w:rsidR="00FF614E" w:rsidRPr="0034148C" w:rsidTr="00975152">
        <w:trPr>
          <w:trHeight w:val="264"/>
        </w:trPr>
        <w:tc>
          <w:tcPr>
            <w:tcW w:w="1904" w:type="dxa"/>
            <w:tcBorders>
              <w:top w:val="single" w:sz="4" w:space="0" w:color="auto"/>
              <w:bottom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p>
        </w:tc>
        <w:tc>
          <w:tcPr>
            <w:tcW w:w="1136" w:type="dxa"/>
            <w:tcBorders>
              <w:top w:val="single" w:sz="4" w:space="0" w:color="auto"/>
              <w:bottom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USD</w:t>
            </w:r>
          </w:p>
        </w:tc>
        <w:tc>
          <w:tcPr>
            <w:tcW w:w="1204" w:type="dxa"/>
            <w:tcBorders>
              <w:top w:val="single" w:sz="4" w:space="0" w:color="auto"/>
              <w:bottom w:val="single" w:sz="4" w:space="0" w:color="auto"/>
              <w:right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w:t>
            </w:r>
          </w:p>
        </w:tc>
        <w:tc>
          <w:tcPr>
            <w:tcW w:w="1480" w:type="dxa"/>
            <w:tcBorders>
              <w:top w:val="single" w:sz="4" w:space="0" w:color="auto"/>
              <w:left w:val="single" w:sz="4" w:space="0" w:color="auto"/>
              <w:bottom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USD</w:t>
            </w:r>
          </w:p>
        </w:tc>
        <w:tc>
          <w:tcPr>
            <w:tcW w:w="1130" w:type="dxa"/>
            <w:tcBorders>
              <w:top w:val="single" w:sz="4" w:space="0" w:color="auto"/>
              <w:bottom w:val="single" w:sz="4" w:space="0" w:color="auto"/>
              <w:right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w:t>
            </w:r>
          </w:p>
        </w:tc>
        <w:tc>
          <w:tcPr>
            <w:tcW w:w="1420" w:type="dxa"/>
            <w:tcBorders>
              <w:top w:val="single" w:sz="4" w:space="0" w:color="auto"/>
              <w:left w:val="single" w:sz="4" w:space="0" w:color="auto"/>
              <w:bottom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USD</w:t>
            </w:r>
          </w:p>
        </w:tc>
        <w:tc>
          <w:tcPr>
            <w:tcW w:w="1220" w:type="dxa"/>
            <w:tcBorders>
              <w:top w:val="single" w:sz="4" w:space="0" w:color="auto"/>
              <w:bottom w:val="single" w:sz="4" w:space="0" w:color="auto"/>
            </w:tcBorders>
            <w:shd w:val="clear" w:color="auto" w:fill="auto"/>
            <w:noWrap/>
            <w:vAlign w:val="bottom"/>
            <w:hideMark/>
          </w:tcPr>
          <w:p w:rsidR="00FF614E" w:rsidRPr="0034148C" w:rsidRDefault="00FF614E" w:rsidP="00FF614E">
            <w:pPr>
              <w:spacing w:after="0" w:line="240" w:lineRule="auto"/>
              <w:jc w:val="center"/>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w:t>
            </w:r>
          </w:p>
        </w:tc>
      </w:tr>
      <w:tr w:rsidR="00025B02" w:rsidRPr="0034148C" w:rsidTr="00975152">
        <w:trPr>
          <w:trHeight w:val="264"/>
        </w:trPr>
        <w:tc>
          <w:tcPr>
            <w:tcW w:w="1904" w:type="dxa"/>
            <w:tcBorders>
              <w:top w:val="single" w:sz="4" w:space="0" w:color="auto"/>
              <w:bottom w:val="single" w:sz="4" w:space="0" w:color="auto"/>
            </w:tcBorders>
            <w:shd w:val="clear" w:color="auto" w:fill="auto"/>
            <w:noWrap/>
            <w:vAlign w:val="bottom"/>
            <w:hideMark/>
          </w:tcPr>
          <w:p w:rsidR="00025B02" w:rsidRPr="0034148C" w:rsidRDefault="00025B02" w:rsidP="00263638">
            <w:pPr>
              <w:spacing w:after="0" w:line="240" w:lineRule="auto"/>
              <w:jc w:val="left"/>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CARE</w:t>
            </w:r>
          </w:p>
        </w:tc>
        <w:tc>
          <w:tcPr>
            <w:tcW w:w="1136" w:type="dxa"/>
            <w:tcBorders>
              <w:top w:val="single" w:sz="4" w:space="0" w:color="auto"/>
              <w:bottom w:val="single" w:sz="4" w:space="0" w:color="auto"/>
            </w:tcBorders>
            <w:shd w:val="clear" w:color="auto" w:fill="auto"/>
            <w:noWrap/>
            <w:vAlign w:val="bottom"/>
            <w:hideMark/>
          </w:tcPr>
          <w:p w:rsidR="00025B02" w:rsidRPr="0034148C" w:rsidRDefault="00025B02" w:rsidP="00FF614E">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 xml:space="preserve">           124,806 </w:t>
            </w:r>
          </w:p>
        </w:tc>
        <w:tc>
          <w:tcPr>
            <w:tcW w:w="1204" w:type="dxa"/>
            <w:tcBorders>
              <w:top w:val="single" w:sz="4" w:space="0" w:color="auto"/>
              <w:bottom w:val="single" w:sz="4" w:space="0" w:color="auto"/>
              <w:right w:val="single" w:sz="4" w:space="0" w:color="auto"/>
            </w:tcBorders>
            <w:shd w:val="clear" w:color="auto" w:fill="auto"/>
            <w:noWrap/>
            <w:vAlign w:val="bottom"/>
            <w:hideMark/>
          </w:tcPr>
          <w:p w:rsidR="00025B02" w:rsidRPr="0034148C" w:rsidRDefault="00025B02" w:rsidP="00FF614E">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6</w:t>
            </w:r>
            <w:r>
              <w:rPr>
                <w:rFonts w:asciiTheme="minorHAnsi" w:eastAsia="Times New Roman" w:hAnsiTheme="minorHAnsi" w:cstheme="minorHAnsi"/>
                <w:sz w:val="20"/>
                <w:szCs w:val="20"/>
                <w:lang w:bidi="th-TH"/>
              </w:rPr>
              <w:t>6</w:t>
            </w:r>
            <w:r w:rsidRPr="0034148C">
              <w:rPr>
                <w:rFonts w:asciiTheme="minorHAnsi" w:eastAsia="Times New Roman" w:hAnsiTheme="minorHAnsi" w:cstheme="minorHAnsi"/>
                <w:sz w:val="20"/>
                <w:szCs w:val="20"/>
                <w:lang w:bidi="th-TH"/>
              </w:rPr>
              <w:t>.</w:t>
            </w:r>
            <w:r>
              <w:rPr>
                <w:rFonts w:asciiTheme="minorHAnsi" w:eastAsia="Times New Roman" w:hAnsiTheme="minorHAnsi" w:cstheme="minorHAnsi"/>
                <w:sz w:val="20"/>
                <w:szCs w:val="20"/>
                <w:lang w:bidi="th-TH"/>
              </w:rPr>
              <w:t>2</w:t>
            </w:r>
          </w:p>
        </w:tc>
        <w:tc>
          <w:tcPr>
            <w:tcW w:w="1480" w:type="dxa"/>
            <w:tcBorders>
              <w:top w:val="single" w:sz="4" w:space="0" w:color="auto"/>
              <w:left w:val="single" w:sz="4" w:space="0" w:color="auto"/>
              <w:bottom w:val="single" w:sz="4" w:space="0" w:color="auto"/>
            </w:tcBorders>
            <w:shd w:val="clear" w:color="auto" w:fill="auto"/>
            <w:noWrap/>
            <w:vAlign w:val="bottom"/>
            <w:hideMark/>
          </w:tcPr>
          <w:p w:rsidR="00025B02" w:rsidRPr="0034148C" w:rsidRDefault="00025B02" w:rsidP="00FF614E">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 xml:space="preserve">          228,782 </w:t>
            </w:r>
          </w:p>
        </w:tc>
        <w:tc>
          <w:tcPr>
            <w:tcW w:w="1130" w:type="dxa"/>
            <w:tcBorders>
              <w:top w:val="single" w:sz="4" w:space="0" w:color="auto"/>
              <w:bottom w:val="single" w:sz="4" w:space="0" w:color="auto"/>
              <w:right w:val="single" w:sz="4" w:space="0" w:color="auto"/>
            </w:tcBorders>
            <w:shd w:val="clear" w:color="auto" w:fill="auto"/>
            <w:noWrap/>
            <w:vAlign w:val="bottom"/>
            <w:hideMark/>
          </w:tcPr>
          <w:p w:rsidR="00025B02" w:rsidRPr="0034148C" w:rsidRDefault="00025B02" w:rsidP="00FF614E">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69.8</w:t>
            </w:r>
          </w:p>
        </w:tc>
        <w:tc>
          <w:tcPr>
            <w:tcW w:w="1420" w:type="dxa"/>
            <w:tcBorders>
              <w:top w:val="single" w:sz="4" w:space="0" w:color="auto"/>
              <w:left w:val="single" w:sz="4" w:space="0" w:color="auto"/>
              <w:bottom w:val="single" w:sz="4" w:space="0" w:color="auto"/>
            </w:tcBorders>
            <w:shd w:val="clear" w:color="auto" w:fill="auto"/>
            <w:noWrap/>
            <w:vAlign w:val="bottom"/>
            <w:hideMark/>
          </w:tcPr>
          <w:p w:rsidR="00025B02" w:rsidRPr="00025B02" w:rsidRDefault="00025B02" w:rsidP="00025B02">
            <w:pPr>
              <w:spacing w:after="0" w:line="240" w:lineRule="auto"/>
              <w:rPr>
                <w:rFonts w:asciiTheme="minorHAnsi" w:hAnsiTheme="minorHAnsi" w:cstheme="minorHAnsi"/>
                <w:sz w:val="20"/>
                <w:szCs w:val="20"/>
              </w:rPr>
            </w:pPr>
            <w:r w:rsidRPr="00025B02">
              <w:rPr>
                <w:rFonts w:asciiTheme="minorHAnsi" w:hAnsiTheme="minorHAnsi" w:cstheme="minorHAnsi"/>
                <w:sz w:val="20"/>
                <w:szCs w:val="20"/>
              </w:rPr>
              <w:t xml:space="preserve">         353,588 </w:t>
            </w:r>
          </w:p>
        </w:tc>
        <w:tc>
          <w:tcPr>
            <w:tcW w:w="1220" w:type="dxa"/>
            <w:tcBorders>
              <w:top w:val="single" w:sz="4" w:space="0" w:color="auto"/>
              <w:bottom w:val="single" w:sz="4" w:space="0" w:color="auto"/>
            </w:tcBorders>
            <w:shd w:val="clear" w:color="auto" w:fill="auto"/>
            <w:noWrap/>
            <w:vAlign w:val="bottom"/>
            <w:hideMark/>
          </w:tcPr>
          <w:p w:rsidR="00025B02" w:rsidRPr="00025B02" w:rsidRDefault="00025B02" w:rsidP="00025B02">
            <w:pPr>
              <w:spacing w:after="0" w:line="240" w:lineRule="auto"/>
              <w:jc w:val="right"/>
              <w:rPr>
                <w:rFonts w:asciiTheme="minorHAnsi" w:hAnsiTheme="minorHAnsi" w:cstheme="minorHAnsi"/>
                <w:sz w:val="20"/>
                <w:szCs w:val="20"/>
              </w:rPr>
            </w:pPr>
            <w:r w:rsidRPr="00025B02">
              <w:rPr>
                <w:rFonts w:asciiTheme="minorHAnsi" w:hAnsiTheme="minorHAnsi" w:cstheme="minorHAnsi"/>
                <w:sz w:val="20"/>
                <w:szCs w:val="20"/>
              </w:rPr>
              <w:t>68.5</w:t>
            </w:r>
          </w:p>
        </w:tc>
      </w:tr>
      <w:tr w:rsidR="00025B02" w:rsidRPr="0034148C" w:rsidTr="00975152">
        <w:trPr>
          <w:trHeight w:val="264"/>
        </w:trPr>
        <w:tc>
          <w:tcPr>
            <w:tcW w:w="1904" w:type="dxa"/>
            <w:tcBorders>
              <w:top w:val="single" w:sz="4" w:space="0" w:color="auto"/>
              <w:bottom w:val="single" w:sz="4" w:space="0" w:color="auto"/>
            </w:tcBorders>
            <w:shd w:val="clear" w:color="auto" w:fill="auto"/>
            <w:noWrap/>
            <w:vAlign w:val="bottom"/>
            <w:hideMark/>
          </w:tcPr>
          <w:p w:rsidR="00025B02" w:rsidRPr="0034148C" w:rsidRDefault="00025B02" w:rsidP="00263638">
            <w:pPr>
              <w:spacing w:after="0" w:line="240" w:lineRule="auto"/>
              <w:jc w:val="left"/>
              <w:rPr>
                <w:rFonts w:asciiTheme="minorHAnsi" w:eastAsia="Times New Roman" w:hAnsiTheme="minorHAnsi" w:cstheme="minorHAnsi"/>
                <w:b/>
                <w:bCs/>
                <w:sz w:val="20"/>
                <w:szCs w:val="20"/>
                <w:lang w:bidi="th-TH"/>
              </w:rPr>
            </w:pPr>
            <w:r w:rsidRPr="0034148C">
              <w:rPr>
                <w:rFonts w:asciiTheme="minorHAnsi" w:eastAsia="Times New Roman" w:hAnsiTheme="minorHAnsi" w:cstheme="minorHAnsi"/>
                <w:b/>
                <w:bCs/>
                <w:sz w:val="20"/>
                <w:szCs w:val="20"/>
                <w:lang w:bidi="th-TH"/>
              </w:rPr>
              <w:t>Community</w:t>
            </w:r>
          </w:p>
        </w:tc>
        <w:tc>
          <w:tcPr>
            <w:tcW w:w="1136" w:type="dxa"/>
            <w:tcBorders>
              <w:top w:val="single" w:sz="4" w:space="0" w:color="auto"/>
              <w:bottom w:val="single" w:sz="4" w:space="0" w:color="auto"/>
            </w:tcBorders>
            <w:shd w:val="clear" w:color="auto" w:fill="auto"/>
            <w:noWrap/>
            <w:vAlign w:val="bottom"/>
            <w:hideMark/>
          </w:tcPr>
          <w:p w:rsidR="00025B02" w:rsidRPr="0034148C" w:rsidRDefault="00025B02" w:rsidP="00FF614E">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 xml:space="preserve">             49,728 </w:t>
            </w:r>
          </w:p>
        </w:tc>
        <w:tc>
          <w:tcPr>
            <w:tcW w:w="1204" w:type="dxa"/>
            <w:tcBorders>
              <w:top w:val="single" w:sz="4" w:space="0" w:color="auto"/>
              <w:bottom w:val="single" w:sz="4" w:space="0" w:color="auto"/>
              <w:right w:val="single" w:sz="4" w:space="0" w:color="auto"/>
            </w:tcBorders>
            <w:shd w:val="clear" w:color="auto" w:fill="auto"/>
            <w:noWrap/>
            <w:vAlign w:val="bottom"/>
            <w:hideMark/>
          </w:tcPr>
          <w:p w:rsidR="00025B02" w:rsidRPr="0034148C" w:rsidRDefault="00025B02" w:rsidP="00FF614E">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2</w:t>
            </w:r>
            <w:r>
              <w:rPr>
                <w:rFonts w:asciiTheme="minorHAnsi" w:eastAsia="Times New Roman" w:hAnsiTheme="minorHAnsi" w:cstheme="minorHAnsi"/>
                <w:sz w:val="20"/>
                <w:szCs w:val="20"/>
                <w:lang w:bidi="th-TH"/>
              </w:rPr>
              <w:t>6</w:t>
            </w:r>
            <w:r w:rsidRPr="0034148C">
              <w:rPr>
                <w:rFonts w:asciiTheme="minorHAnsi" w:eastAsia="Times New Roman" w:hAnsiTheme="minorHAnsi" w:cstheme="minorHAnsi"/>
                <w:sz w:val="20"/>
                <w:szCs w:val="20"/>
                <w:lang w:bidi="th-TH"/>
              </w:rPr>
              <w:t>.4</w:t>
            </w:r>
          </w:p>
        </w:tc>
        <w:tc>
          <w:tcPr>
            <w:tcW w:w="1480" w:type="dxa"/>
            <w:tcBorders>
              <w:top w:val="single" w:sz="4" w:space="0" w:color="auto"/>
              <w:left w:val="single" w:sz="4" w:space="0" w:color="auto"/>
              <w:bottom w:val="single" w:sz="4" w:space="0" w:color="auto"/>
            </w:tcBorders>
            <w:shd w:val="clear" w:color="auto" w:fill="auto"/>
            <w:noWrap/>
            <w:vAlign w:val="bottom"/>
            <w:hideMark/>
          </w:tcPr>
          <w:p w:rsidR="00025B02" w:rsidRPr="0034148C" w:rsidRDefault="00025B02" w:rsidP="00FF614E">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 xml:space="preserve">            23,933 </w:t>
            </w:r>
          </w:p>
        </w:tc>
        <w:tc>
          <w:tcPr>
            <w:tcW w:w="1130" w:type="dxa"/>
            <w:tcBorders>
              <w:top w:val="single" w:sz="4" w:space="0" w:color="auto"/>
              <w:bottom w:val="single" w:sz="4" w:space="0" w:color="auto"/>
              <w:right w:val="single" w:sz="4" w:space="0" w:color="auto"/>
            </w:tcBorders>
            <w:shd w:val="clear" w:color="auto" w:fill="auto"/>
            <w:noWrap/>
            <w:vAlign w:val="bottom"/>
            <w:hideMark/>
          </w:tcPr>
          <w:p w:rsidR="00025B02" w:rsidRPr="0034148C" w:rsidRDefault="00025B02" w:rsidP="00FF614E">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7.3</w:t>
            </w:r>
          </w:p>
        </w:tc>
        <w:tc>
          <w:tcPr>
            <w:tcW w:w="1420" w:type="dxa"/>
            <w:tcBorders>
              <w:top w:val="single" w:sz="4" w:space="0" w:color="auto"/>
              <w:left w:val="single" w:sz="4" w:space="0" w:color="auto"/>
              <w:bottom w:val="single" w:sz="4" w:space="0" w:color="auto"/>
            </w:tcBorders>
            <w:shd w:val="clear" w:color="auto" w:fill="auto"/>
            <w:noWrap/>
            <w:vAlign w:val="bottom"/>
            <w:hideMark/>
          </w:tcPr>
          <w:p w:rsidR="00025B02" w:rsidRPr="00025B02" w:rsidRDefault="00025B02" w:rsidP="00025B02">
            <w:pPr>
              <w:spacing w:after="0" w:line="240" w:lineRule="auto"/>
              <w:rPr>
                <w:rFonts w:asciiTheme="minorHAnsi" w:hAnsiTheme="minorHAnsi" w:cstheme="minorHAnsi"/>
                <w:sz w:val="20"/>
                <w:szCs w:val="20"/>
              </w:rPr>
            </w:pPr>
            <w:r w:rsidRPr="00025B02">
              <w:rPr>
                <w:rFonts w:asciiTheme="minorHAnsi" w:hAnsiTheme="minorHAnsi" w:cstheme="minorHAnsi"/>
                <w:sz w:val="20"/>
                <w:szCs w:val="20"/>
              </w:rPr>
              <w:t xml:space="preserve">           73,661 </w:t>
            </w:r>
          </w:p>
        </w:tc>
        <w:tc>
          <w:tcPr>
            <w:tcW w:w="1220" w:type="dxa"/>
            <w:tcBorders>
              <w:top w:val="single" w:sz="4" w:space="0" w:color="auto"/>
              <w:bottom w:val="single" w:sz="4" w:space="0" w:color="auto"/>
            </w:tcBorders>
            <w:shd w:val="clear" w:color="auto" w:fill="auto"/>
            <w:noWrap/>
            <w:vAlign w:val="bottom"/>
            <w:hideMark/>
          </w:tcPr>
          <w:p w:rsidR="00025B02" w:rsidRPr="00025B02" w:rsidRDefault="00025B02" w:rsidP="00025B02">
            <w:pPr>
              <w:spacing w:after="0" w:line="240" w:lineRule="auto"/>
              <w:jc w:val="right"/>
              <w:rPr>
                <w:rFonts w:asciiTheme="minorHAnsi" w:hAnsiTheme="minorHAnsi" w:cstheme="minorHAnsi"/>
                <w:sz w:val="20"/>
                <w:szCs w:val="20"/>
              </w:rPr>
            </w:pPr>
            <w:r w:rsidRPr="00025B02">
              <w:rPr>
                <w:rFonts w:asciiTheme="minorHAnsi" w:hAnsiTheme="minorHAnsi" w:cstheme="minorHAnsi"/>
                <w:sz w:val="20"/>
                <w:szCs w:val="20"/>
              </w:rPr>
              <w:t>14.3</w:t>
            </w:r>
          </w:p>
        </w:tc>
      </w:tr>
      <w:tr w:rsidR="00025B02" w:rsidRPr="0034148C" w:rsidTr="00975152">
        <w:trPr>
          <w:trHeight w:val="264"/>
        </w:trPr>
        <w:tc>
          <w:tcPr>
            <w:tcW w:w="1904" w:type="dxa"/>
            <w:tcBorders>
              <w:top w:val="single" w:sz="4" w:space="0" w:color="auto"/>
            </w:tcBorders>
            <w:shd w:val="clear" w:color="auto" w:fill="auto"/>
            <w:noWrap/>
            <w:vAlign w:val="bottom"/>
            <w:hideMark/>
          </w:tcPr>
          <w:p w:rsidR="00025B02" w:rsidRPr="0034148C" w:rsidRDefault="00025B02" w:rsidP="00263638">
            <w:pPr>
              <w:spacing w:after="0" w:line="240" w:lineRule="auto"/>
              <w:jc w:val="left"/>
              <w:rPr>
                <w:rFonts w:asciiTheme="minorHAnsi" w:eastAsia="Times New Roman" w:hAnsiTheme="minorHAnsi" w:cstheme="minorHAnsi"/>
                <w:b/>
                <w:bCs/>
                <w:sz w:val="20"/>
                <w:szCs w:val="20"/>
                <w:lang w:bidi="th-TH"/>
              </w:rPr>
            </w:pPr>
            <w:r>
              <w:rPr>
                <w:rFonts w:asciiTheme="minorHAnsi" w:eastAsia="Times New Roman" w:hAnsiTheme="minorHAnsi" w:cstheme="minorHAnsi"/>
                <w:b/>
                <w:bCs/>
                <w:sz w:val="20"/>
                <w:szCs w:val="20"/>
                <w:lang w:bidi="th-TH"/>
              </w:rPr>
              <w:t>Government</w:t>
            </w:r>
          </w:p>
        </w:tc>
        <w:tc>
          <w:tcPr>
            <w:tcW w:w="1136" w:type="dxa"/>
            <w:tcBorders>
              <w:top w:val="single" w:sz="4" w:space="0" w:color="auto"/>
            </w:tcBorders>
            <w:shd w:val="clear" w:color="auto" w:fill="auto"/>
            <w:noWrap/>
            <w:vAlign w:val="bottom"/>
            <w:hideMark/>
          </w:tcPr>
          <w:p w:rsidR="00025B02" w:rsidRPr="0034148C" w:rsidRDefault="00025B02" w:rsidP="005C32E2">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 xml:space="preserve">               </w:t>
            </w:r>
            <w:r>
              <w:rPr>
                <w:rFonts w:asciiTheme="minorHAnsi" w:eastAsia="Times New Roman" w:hAnsiTheme="minorHAnsi" w:cstheme="minorHAnsi"/>
                <w:sz w:val="20"/>
                <w:szCs w:val="20"/>
                <w:lang w:bidi="th-TH"/>
              </w:rPr>
              <w:t>14,087</w:t>
            </w:r>
          </w:p>
        </w:tc>
        <w:tc>
          <w:tcPr>
            <w:tcW w:w="1204" w:type="dxa"/>
            <w:tcBorders>
              <w:top w:val="single" w:sz="4" w:space="0" w:color="auto"/>
              <w:right w:val="single" w:sz="4" w:space="0" w:color="auto"/>
            </w:tcBorders>
            <w:shd w:val="clear" w:color="auto" w:fill="auto"/>
            <w:noWrap/>
            <w:vAlign w:val="bottom"/>
            <w:hideMark/>
          </w:tcPr>
          <w:p w:rsidR="00025B02" w:rsidRPr="0034148C" w:rsidRDefault="00025B02" w:rsidP="005C32E2">
            <w:pPr>
              <w:spacing w:after="0" w:line="240" w:lineRule="auto"/>
              <w:jc w:val="right"/>
              <w:rPr>
                <w:rFonts w:asciiTheme="minorHAnsi" w:eastAsia="Times New Roman" w:hAnsiTheme="minorHAnsi" w:cstheme="minorHAnsi"/>
                <w:sz w:val="20"/>
                <w:szCs w:val="20"/>
                <w:lang w:bidi="th-TH"/>
              </w:rPr>
            </w:pPr>
            <w:r>
              <w:rPr>
                <w:rFonts w:asciiTheme="minorHAnsi" w:eastAsia="Times New Roman" w:hAnsiTheme="minorHAnsi" w:cstheme="minorHAnsi"/>
                <w:sz w:val="20"/>
                <w:szCs w:val="20"/>
                <w:lang w:bidi="th-TH"/>
              </w:rPr>
              <w:t>7</w:t>
            </w:r>
            <w:r w:rsidRPr="0034148C">
              <w:rPr>
                <w:rFonts w:asciiTheme="minorHAnsi" w:eastAsia="Times New Roman" w:hAnsiTheme="minorHAnsi" w:cstheme="minorHAnsi"/>
                <w:sz w:val="20"/>
                <w:szCs w:val="20"/>
                <w:lang w:bidi="th-TH"/>
              </w:rPr>
              <w:t>.</w:t>
            </w:r>
            <w:r>
              <w:rPr>
                <w:rFonts w:asciiTheme="minorHAnsi" w:eastAsia="Times New Roman" w:hAnsiTheme="minorHAnsi" w:cstheme="minorHAnsi"/>
                <w:sz w:val="20"/>
                <w:szCs w:val="20"/>
                <w:lang w:bidi="th-TH"/>
              </w:rPr>
              <w:t>5</w:t>
            </w:r>
          </w:p>
        </w:tc>
        <w:tc>
          <w:tcPr>
            <w:tcW w:w="1480" w:type="dxa"/>
            <w:tcBorders>
              <w:top w:val="single" w:sz="4" w:space="0" w:color="auto"/>
              <w:left w:val="single" w:sz="4" w:space="0" w:color="auto"/>
            </w:tcBorders>
            <w:shd w:val="clear" w:color="auto" w:fill="auto"/>
            <w:noWrap/>
            <w:vAlign w:val="bottom"/>
            <w:hideMark/>
          </w:tcPr>
          <w:p w:rsidR="00025B02" w:rsidRDefault="00025B02" w:rsidP="00975152">
            <w:pPr>
              <w:spacing w:after="0" w:line="240" w:lineRule="auto"/>
              <w:jc w:val="right"/>
              <w:rPr>
                <w:rFonts w:ascii="Calibri" w:hAnsi="Calibri" w:cs="Calibri"/>
                <w:color w:val="000000"/>
              </w:rPr>
            </w:pPr>
            <w:r>
              <w:rPr>
                <w:rFonts w:ascii="Calibri" w:hAnsi="Calibri" w:cs="Calibri"/>
                <w:color w:val="000000"/>
              </w:rPr>
              <w:t>74,944</w:t>
            </w:r>
          </w:p>
        </w:tc>
        <w:tc>
          <w:tcPr>
            <w:tcW w:w="1130" w:type="dxa"/>
            <w:tcBorders>
              <w:top w:val="single" w:sz="4" w:space="0" w:color="auto"/>
              <w:right w:val="single" w:sz="4" w:space="0" w:color="auto"/>
            </w:tcBorders>
            <w:shd w:val="clear" w:color="auto" w:fill="auto"/>
            <w:noWrap/>
            <w:vAlign w:val="bottom"/>
            <w:hideMark/>
          </w:tcPr>
          <w:p w:rsidR="00025B02" w:rsidRDefault="00025B02" w:rsidP="00975152">
            <w:pPr>
              <w:spacing w:after="0" w:line="240" w:lineRule="auto"/>
              <w:jc w:val="right"/>
              <w:rPr>
                <w:rFonts w:ascii="Calibri" w:hAnsi="Calibri" w:cs="Calibri"/>
                <w:color w:val="000000"/>
              </w:rPr>
            </w:pPr>
            <w:r>
              <w:rPr>
                <w:rFonts w:ascii="Calibri" w:hAnsi="Calibri" w:cs="Calibri"/>
                <w:color w:val="000000"/>
              </w:rPr>
              <w:t>22.9</w:t>
            </w:r>
          </w:p>
        </w:tc>
        <w:tc>
          <w:tcPr>
            <w:tcW w:w="1420" w:type="dxa"/>
            <w:tcBorders>
              <w:top w:val="single" w:sz="4" w:space="0" w:color="auto"/>
              <w:left w:val="single" w:sz="4" w:space="0" w:color="auto"/>
            </w:tcBorders>
            <w:shd w:val="clear" w:color="auto" w:fill="auto"/>
            <w:noWrap/>
            <w:vAlign w:val="bottom"/>
            <w:hideMark/>
          </w:tcPr>
          <w:p w:rsidR="00025B02" w:rsidRPr="00025B02" w:rsidRDefault="00025B02" w:rsidP="00025B02">
            <w:pPr>
              <w:spacing w:after="0" w:line="240" w:lineRule="auto"/>
              <w:rPr>
                <w:rFonts w:asciiTheme="minorHAnsi" w:hAnsiTheme="minorHAnsi" w:cstheme="minorHAnsi"/>
                <w:sz w:val="20"/>
                <w:szCs w:val="20"/>
              </w:rPr>
            </w:pPr>
            <w:r w:rsidRPr="00025B02">
              <w:rPr>
                <w:rFonts w:asciiTheme="minorHAnsi" w:hAnsiTheme="minorHAnsi" w:cstheme="minorHAnsi"/>
                <w:sz w:val="20"/>
                <w:szCs w:val="20"/>
              </w:rPr>
              <w:t xml:space="preserve">           89,030 </w:t>
            </w:r>
          </w:p>
        </w:tc>
        <w:tc>
          <w:tcPr>
            <w:tcW w:w="1220" w:type="dxa"/>
            <w:tcBorders>
              <w:top w:val="single" w:sz="4" w:space="0" w:color="auto"/>
            </w:tcBorders>
            <w:shd w:val="clear" w:color="auto" w:fill="auto"/>
            <w:noWrap/>
            <w:vAlign w:val="bottom"/>
            <w:hideMark/>
          </w:tcPr>
          <w:p w:rsidR="00025B02" w:rsidRPr="00025B02" w:rsidRDefault="00C213ED" w:rsidP="00C213ED">
            <w:pPr>
              <w:spacing w:after="0" w:line="240" w:lineRule="auto"/>
              <w:jc w:val="right"/>
              <w:rPr>
                <w:rFonts w:asciiTheme="minorHAnsi" w:hAnsiTheme="minorHAnsi" w:cstheme="minorHAnsi"/>
                <w:sz w:val="20"/>
                <w:szCs w:val="20"/>
              </w:rPr>
            </w:pPr>
            <w:r>
              <w:rPr>
                <w:rFonts w:asciiTheme="minorHAnsi" w:hAnsiTheme="minorHAnsi" w:cstheme="minorHAnsi"/>
                <w:sz w:val="20"/>
                <w:szCs w:val="20"/>
              </w:rPr>
              <w:t>17.2</w:t>
            </w:r>
          </w:p>
        </w:tc>
      </w:tr>
      <w:tr w:rsidR="00025B02" w:rsidRPr="0034148C" w:rsidTr="00975152">
        <w:trPr>
          <w:trHeight w:val="264"/>
        </w:trPr>
        <w:tc>
          <w:tcPr>
            <w:tcW w:w="1904" w:type="dxa"/>
            <w:tcBorders>
              <w:bottom w:val="dotted" w:sz="4" w:space="0" w:color="auto"/>
            </w:tcBorders>
            <w:shd w:val="clear" w:color="auto" w:fill="auto"/>
            <w:noWrap/>
            <w:vAlign w:val="bottom"/>
            <w:hideMark/>
          </w:tcPr>
          <w:p w:rsidR="00025B02" w:rsidRPr="000E4440" w:rsidRDefault="00025B02" w:rsidP="000E4440">
            <w:pPr>
              <w:spacing w:after="0" w:line="240" w:lineRule="auto"/>
              <w:ind w:left="176"/>
              <w:jc w:val="left"/>
              <w:rPr>
                <w:rFonts w:asciiTheme="minorHAnsi" w:eastAsia="Times New Roman" w:hAnsiTheme="minorHAnsi" w:cstheme="minorHAnsi"/>
                <w:i/>
                <w:iCs/>
                <w:sz w:val="20"/>
                <w:szCs w:val="20"/>
                <w:lang w:bidi="th-TH"/>
              </w:rPr>
            </w:pPr>
            <w:r w:rsidRPr="000E4440">
              <w:rPr>
                <w:rFonts w:asciiTheme="minorHAnsi" w:eastAsia="Times New Roman" w:hAnsiTheme="minorHAnsi" w:cstheme="minorHAnsi"/>
                <w:i/>
                <w:iCs/>
                <w:sz w:val="20"/>
                <w:szCs w:val="20"/>
                <w:lang w:bidi="th-TH"/>
              </w:rPr>
              <w:t>Schools</w:t>
            </w:r>
          </w:p>
        </w:tc>
        <w:tc>
          <w:tcPr>
            <w:tcW w:w="1136" w:type="dxa"/>
            <w:tcBorders>
              <w:bottom w:val="dotted" w:sz="4" w:space="0" w:color="auto"/>
            </w:tcBorders>
            <w:shd w:val="clear" w:color="auto" w:fill="auto"/>
            <w:noWrap/>
            <w:vAlign w:val="bottom"/>
            <w:hideMark/>
          </w:tcPr>
          <w:p w:rsidR="00025B02" w:rsidRPr="0034148C" w:rsidRDefault="00025B02" w:rsidP="00FF614E">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p>
        </w:tc>
        <w:tc>
          <w:tcPr>
            <w:tcW w:w="1204" w:type="dxa"/>
            <w:tcBorders>
              <w:bottom w:val="dotted" w:sz="4" w:space="0" w:color="auto"/>
              <w:right w:val="single" w:sz="4" w:space="0" w:color="auto"/>
            </w:tcBorders>
            <w:shd w:val="clear" w:color="auto" w:fill="auto"/>
            <w:noWrap/>
            <w:vAlign w:val="bottom"/>
            <w:hideMark/>
          </w:tcPr>
          <w:p w:rsidR="00025B02" w:rsidRPr="0034148C" w:rsidRDefault="00025B02" w:rsidP="00FF614E">
            <w:pPr>
              <w:spacing w:after="0" w:line="240" w:lineRule="auto"/>
              <w:jc w:val="right"/>
              <w:rPr>
                <w:rFonts w:asciiTheme="minorHAnsi" w:eastAsia="Times New Roman" w:hAnsiTheme="minorHAnsi" w:cstheme="minorHAnsi"/>
                <w:sz w:val="20"/>
                <w:szCs w:val="20"/>
                <w:lang w:bidi="th-TH"/>
              </w:rPr>
            </w:pPr>
            <w:r w:rsidRPr="0034148C">
              <w:rPr>
                <w:rFonts w:asciiTheme="minorHAnsi" w:eastAsia="Times New Roman" w:hAnsiTheme="minorHAnsi" w:cstheme="minorHAnsi"/>
                <w:sz w:val="20"/>
                <w:szCs w:val="20"/>
                <w:lang w:bidi="th-TH"/>
              </w:rPr>
              <w:t>-</w:t>
            </w:r>
          </w:p>
        </w:tc>
        <w:tc>
          <w:tcPr>
            <w:tcW w:w="1480" w:type="dxa"/>
            <w:tcBorders>
              <w:left w:val="single" w:sz="4" w:space="0" w:color="auto"/>
              <w:bottom w:val="dotted" w:sz="4" w:space="0" w:color="auto"/>
            </w:tcBorders>
            <w:shd w:val="clear" w:color="auto" w:fill="auto"/>
            <w:noWrap/>
            <w:vAlign w:val="bottom"/>
            <w:hideMark/>
          </w:tcPr>
          <w:p w:rsidR="00025B02" w:rsidRPr="000E4440" w:rsidRDefault="00025B02" w:rsidP="00FF614E">
            <w:pPr>
              <w:spacing w:after="0" w:line="240" w:lineRule="auto"/>
              <w:jc w:val="right"/>
              <w:rPr>
                <w:rFonts w:asciiTheme="minorHAnsi" w:eastAsia="Times New Roman" w:hAnsiTheme="minorHAnsi" w:cstheme="minorHAnsi"/>
                <w:i/>
                <w:iCs/>
                <w:sz w:val="20"/>
                <w:szCs w:val="20"/>
                <w:lang w:bidi="th-TH"/>
              </w:rPr>
            </w:pPr>
            <w:r w:rsidRPr="000E4440">
              <w:rPr>
                <w:rFonts w:asciiTheme="minorHAnsi" w:eastAsia="Times New Roman" w:hAnsiTheme="minorHAnsi" w:cstheme="minorHAnsi"/>
                <w:i/>
                <w:iCs/>
                <w:sz w:val="20"/>
                <w:szCs w:val="20"/>
                <w:lang w:bidi="th-TH"/>
              </w:rPr>
              <w:t xml:space="preserve">            52,807 </w:t>
            </w:r>
          </w:p>
        </w:tc>
        <w:tc>
          <w:tcPr>
            <w:tcW w:w="1130" w:type="dxa"/>
            <w:tcBorders>
              <w:bottom w:val="dotted" w:sz="4" w:space="0" w:color="auto"/>
              <w:right w:val="single" w:sz="4" w:space="0" w:color="auto"/>
            </w:tcBorders>
            <w:shd w:val="clear" w:color="auto" w:fill="auto"/>
            <w:noWrap/>
            <w:vAlign w:val="bottom"/>
            <w:hideMark/>
          </w:tcPr>
          <w:p w:rsidR="00025B02" w:rsidRPr="000E4440" w:rsidRDefault="00025B02" w:rsidP="00FF614E">
            <w:pPr>
              <w:spacing w:after="0" w:line="240" w:lineRule="auto"/>
              <w:jc w:val="right"/>
              <w:rPr>
                <w:rFonts w:asciiTheme="minorHAnsi" w:eastAsia="Times New Roman" w:hAnsiTheme="minorHAnsi" w:cstheme="minorHAnsi"/>
                <w:i/>
                <w:iCs/>
                <w:sz w:val="20"/>
                <w:szCs w:val="20"/>
                <w:lang w:bidi="th-TH"/>
              </w:rPr>
            </w:pPr>
            <w:r w:rsidRPr="000E4440">
              <w:rPr>
                <w:rFonts w:asciiTheme="minorHAnsi" w:eastAsia="Times New Roman" w:hAnsiTheme="minorHAnsi" w:cstheme="minorHAnsi"/>
                <w:i/>
                <w:iCs/>
                <w:sz w:val="20"/>
                <w:szCs w:val="20"/>
                <w:lang w:bidi="th-TH"/>
              </w:rPr>
              <w:t>16.1</w:t>
            </w:r>
          </w:p>
        </w:tc>
        <w:tc>
          <w:tcPr>
            <w:tcW w:w="1420" w:type="dxa"/>
            <w:tcBorders>
              <w:left w:val="single" w:sz="4" w:space="0" w:color="auto"/>
              <w:bottom w:val="dotted" w:sz="4" w:space="0" w:color="auto"/>
            </w:tcBorders>
            <w:shd w:val="clear" w:color="auto" w:fill="auto"/>
            <w:noWrap/>
            <w:vAlign w:val="bottom"/>
            <w:hideMark/>
          </w:tcPr>
          <w:p w:rsidR="00025B02" w:rsidRPr="00025B02" w:rsidRDefault="00025B02" w:rsidP="00025B02">
            <w:pPr>
              <w:spacing w:after="0" w:line="240" w:lineRule="auto"/>
              <w:rPr>
                <w:rFonts w:asciiTheme="minorHAnsi" w:hAnsiTheme="minorHAnsi" w:cstheme="minorHAnsi"/>
                <w:i/>
                <w:iCs/>
                <w:sz w:val="20"/>
                <w:szCs w:val="20"/>
              </w:rPr>
            </w:pPr>
            <w:r w:rsidRPr="00025B02">
              <w:rPr>
                <w:rFonts w:asciiTheme="minorHAnsi" w:hAnsiTheme="minorHAnsi" w:cstheme="minorHAnsi"/>
                <w:i/>
                <w:iCs/>
                <w:sz w:val="20"/>
                <w:szCs w:val="20"/>
              </w:rPr>
              <w:t xml:space="preserve">           52,807 </w:t>
            </w:r>
          </w:p>
        </w:tc>
        <w:tc>
          <w:tcPr>
            <w:tcW w:w="1220" w:type="dxa"/>
            <w:tcBorders>
              <w:bottom w:val="dotted" w:sz="4" w:space="0" w:color="auto"/>
            </w:tcBorders>
            <w:shd w:val="clear" w:color="auto" w:fill="auto"/>
            <w:noWrap/>
            <w:vAlign w:val="bottom"/>
            <w:hideMark/>
          </w:tcPr>
          <w:p w:rsidR="00025B02" w:rsidRPr="00025B02" w:rsidRDefault="00025B02" w:rsidP="00025B02">
            <w:pPr>
              <w:spacing w:after="0" w:line="240" w:lineRule="auto"/>
              <w:jc w:val="right"/>
              <w:rPr>
                <w:rFonts w:asciiTheme="minorHAnsi" w:hAnsiTheme="minorHAnsi" w:cstheme="minorHAnsi"/>
                <w:i/>
                <w:iCs/>
                <w:sz w:val="20"/>
                <w:szCs w:val="20"/>
              </w:rPr>
            </w:pPr>
            <w:r w:rsidRPr="00025B02">
              <w:rPr>
                <w:rFonts w:asciiTheme="minorHAnsi" w:hAnsiTheme="minorHAnsi" w:cstheme="minorHAnsi"/>
                <w:i/>
                <w:iCs/>
                <w:sz w:val="20"/>
                <w:szCs w:val="20"/>
              </w:rPr>
              <w:t>10.2</w:t>
            </w:r>
          </w:p>
        </w:tc>
      </w:tr>
      <w:tr w:rsidR="00025B02" w:rsidRPr="0034148C" w:rsidTr="00975152">
        <w:trPr>
          <w:trHeight w:val="215"/>
        </w:trPr>
        <w:tc>
          <w:tcPr>
            <w:tcW w:w="1904" w:type="dxa"/>
            <w:tcBorders>
              <w:top w:val="dotted" w:sz="4" w:space="0" w:color="auto"/>
              <w:bottom w:val="single" w:sz="4" w:space="0" w:color="auto"/>
            </w:tcBorders>
            <w:shd w:val="clear" w:color="auto" w:fill="auto"/>
            <w:noWrap/>
            <w:vAlign w:val="bottom"/>
            <w:hideMark/>
          </w:tcPr>
          <w:p w:rsidR="00025B02" w:rsidRPr="000E4440" w:rsidRDefault="00025B02" w:rsidP="000E4440">
            <w:pPr>
              <w:spacing w:after="0" w:line="240" w:lineRule="auto"/>
              <w:ind w:left="176"/>
              <w:jc w:val="left"/>
              <w:rPr>
                <w:rFonts w:asciiTheme="minorHAnsi" w:eastAsia="Times New Roman" w:hAnsiTheme="minorHAnsi" w:cstheme="minorHAnsi"/>
                <w:i/>
                <w:iCs/>
                <w:sz w:val="20"/>
                <w:szCs w:val="20"/>
                <w:lang w:bidi="th-TH"/>
              </w:rPr>
            </w:pPr>
            <w:r>
              <w:rPr>
                <w:rFonts w:asciiTheme="minorHAnsi" w:eastAsia="Times New Roman" w:hAnsiTheme="minorHAnsi" w:cstheme="minorHAnsi"/>
                <w:i/>
                <w:iCs/>
                <w:sz w:val="20"/>
                <w:szCs w:val="20"/>
                <w:lang w:bidi="th-TH"/>
              </w:rPr>
              <w:t>Mu</w:t>
            </w:r>
            <w:r w:rsidRPr="000E4440">
              <w:rPr>
                <w:rFonts w:asciiTheme="minorHAnsi" w:eastAsia="Times New Roman" w:hAnsiTheme="minorHAnsi" w:cstheme="minorHAnsi"/>
                <w:i/>
                <w:iCs/>
                <w:sz w:val="20"/>
                <w:szCs w:val="20"/>
                <w:lang w:bidi="th-TH"/>
              </w:rPr>
              <w:t>nicipality</w:t>
            </w:r>
            <w:r>
              <w:rPr>
                <w:rFonts w:asciiTheme="minorHAnsi" w:eastAsia="Times New Roman" w:hAnsiTheme="minorHAnsi" w:cstheme="minorHAnsi"/>
                <w:i/>
                <w:iCs/>
                <w:sz w:val="20"/>
                <w:szCs w:val="20"/>
                <w:lang w:bidi="th-TH"/>
              </w:rPr>
              <w:t>/other</w:t>
            </w:r>
          </w:p>
        </w:tc>
        <w:tc>
          <w:tcPr>
            <w:tcW w:w="1136" w:type="dxa"/>
            <w:tcBorders>
              <w:top w:val="dotted" w:sz="4" w:space="0" w:color="auto"/>
              <w:bottom w:val="single" w:sz="4" w:space="0" w:color="auto"/>
            </w:tcBorders>
            <w:shd w:val="clear" w:color="auto" w:fill="auto"/>
            <w:noWrap/>
            <w:vAlign w:val="bottom"/>
            <w:hideMark/>
          </w:tcPr>
          <w:p w:rsidR="00025B02" w:rsidRPr="000E4440" w:rsidRDefault="00025B02" w:rsidP="00FF614E">
            <w:pPr>
              <w:spacing w:after="0" w:line="240" w:lineRule="auto"/>
              <w:jc w:val="right"/>
              <w:rPr>
                <w:rFonts w:asciiTheme="minorHAnsi" w:eastAsia="Times New Roman" w:hAnsiTheme="minorHAnsi" w:cstheme="minorHAnsi"/>
                <w:i/>
                <w:iCs/>
                <w:sz w:val="20"/>
                <w:szCs w:val="20"/>
                <w:lang w:bidi="th-TH"/>
              </w:rPr>
            </w:pPr>
            <w:r>
              <w:rPr>
                <w:rFonts w:asciiTheme="minorHAnsi" w:eastAsia="Times New Roman" w:hAnsiTheme="minorHAnsi" w:cstheme="minorHAnsi"/>
                <w:i/>
                <w:iCs/>
                <w:sz w:val="20"/>
                <w:szCs w:val="20"/>
                <w:lang w:bidi="th-TH"/>
              </w:rPr>
              <w:t xml:space="preserve">        14,087</w:t>
            </w:r>
            <w:r w:rsidRPr="000E4440">
              <w:rPr>
                <w:rFonts w:asciiTheme="minorHAnsi" w:eastAsia="Times New Roman" w:hAnsiTheme="minorHAnsi" w:cstheme="minorHAnsi"/>
                <w:i/>
                <w:iCs/>
                <w:sz w:val="20"/>
                <w:szCs w:val="20"/>
                <w:lang w:bidi="th-TH"/>
              </w:rPr>
              <w:t xml:space="preserve"> </w:t>
            </w:r>
          </w:p>
        </w:tc>
        <w:tc>
          <w:tcPr>
            <w:tcW w:w="1204" w:type="dxa"/>
            <w:tcBorders>
              <w:top w:val="dotted" w:sz="4" w:space="0" w:color="auto"/>
              <w:bottom w:val="single" w:sz="4" w:space="0" w:color="auto"/>
              <w:right w:val="single" w:sz="4" w:space="0" w:color="auto"/>
            </w:tcBorders>
            <w:shd w:val="clear" w:color="auto" w:fill="auto"/>
            <w:noWrap/>
            <w:vAlign w:val="bottom"/>
            <w:hideMark/>
          </w:tcPr>
          <w:p w:rsidR="00025B02" w:rsidRPr="000E4440" w:rsidRDefault="00025B02" w:rsidP="00FF614E">
            <w:pPr>
              <w:spacing w:after="0" w:line="240" w:lineRule="auto"/>
              <w:jc w:val="right"/>
              <w:rPr>
                <w:rFonts w:asciiTheme="minorHAnsi" w:eastAsia="Times New Roman" w:hAnsiTheme="minorHAnsi" w:cstheme="minorHAnsi"/>
                <w:i/>
                <w:iCs/>
                <w:sz w:val="20"/>
                <w:szCs w:val="20"/>
                <w:lang w:bidi="th-TH"/>
              </w:rPr>
            </w:pPr>
            <w:r>
              <w:rPr>
                <w:rFonts w:asciiTheme="minorHAnsi" w:eastAsia="Times New Roman" w:hAnsiTheme="minorHAnsi" w:cstheme="minorHAnsi"/>
                <w:i/>
                <w:iCs/>
                <w:sz w:val="20"/>
                <w:szCs w:val="20"/>
                <w:lang w:bidi="th-TH"/>
              </w:rPr>
              <w:t>7</w:t>
            </w:r>
            <w:r w:rsidRPr="000E4440">
              <w:rPr>
                <w:rFonts w:asciiTheme="minorHAnsi" w:eastAsia="Times New Roman" w:hAnsiTheme="minorHAnsi" w:cstheme="minorHAnsi"/>
                <w:i/>
                <w:iCs/>
                <w:sz w:val="20"/>
                <w:szCs w:val="20"/>
                <w:lang w:bidi="th-TH"/>
              </w:rPr>
              <w:t>.</w:t>
            </w:r>
            <w:r>
              <w:rPr>
                <w:rFonts w:asciiTheme="minorHAnsi" w:eastAsia="Times New Roman" w:hAnsiTheme="minorHAnsi" w:cstheme="minorHAnsi"/>
                <w:i/>
                <w:iCs/>
                <w:sz w:val="20"/>
                <w:szCs w:val="20"/>
                <w:lang w:bidi="th-TH"/>
              </w:rPr>
              <w:t>5</w:t>
            </w:r>
          </w:p>
        </w:tc>
        <w:tc>
          <w:tcPr>
            <w:tcW w:w="1480" w:type="dxa"/>
            <w:tcBorders>
              <w:top w:val="dotted" w:sz="4" w:space="0" w:color="auto"/>
              <w:left w:val="single" w:sz="4" w:space="0" w:color="auto"/>
              <w:bottom w:val="single" w:sz="4" w:space="0" w:color="auto"/>
            </w:tcBorders>
            <w:shd w:val="clear" w:color="auto" w:fill="auto"/>
            <w:noWrap/>
            <w:vAlign w:val="bottom"/>
            <w:hideMark/>
          </w:tcPr>
          <w:p w:rsidR="00025B02" w:rsidRPr="000E4440" w:rsidRDefault="00025B02" w:rsidP="00FF614E">
            <w:pPr>
              <w:spacing w:after="0" w:line="240" w:lineRule="auto"/>
              <w:jc w:val="right"/>
              <w:rPr>
                <w:rFonts w:asciiTheme="minorHAnsi" w:eastAsia="Times New Roman" w:hAnsiTheme="minorHAnsi" w:cstheme="minorHAnsi"/>
                <w:i/>
                <w:iCs/>
                <w:sz w:val="20"/>
                <w:szCs w:val="20"/>
                <w:lang w:bidi="th-TH"/>
              </w:rPr>
            </w:pPr>
            <w:r w:rsidRPr="000E4440">
              <w:rPr>
                <w:rFonts w:asciiTheme="minorHAnsi" w:eastAsia="Times New Roman" w:hAnsiTheme="minorHAnsi" w:cstheme="minorHAnsi"/>
                <w:i/>
                <w:iCs/>
                <w:sz w:val="20"/>
                <w:szCs w:val="20"/>
                <w:lang w:bidi="th-TH"/>
              </w:rPr>
              <w:t xml:space="preserve">            22,137 </w:t>
            </w:r>
          </w:p>
        </w:tc>
        <w:tc>
          <w:tcPr>
            <w:tcW w:w="1130" w:type="dxa"/>
            <w:tcBorders>
              <w:top w:val="dotted" w:sz="4" w:space="0" w:color="auto"/>
              <w:bottom w:val="single" w:sz="4" w:space="0" w:color="auto"/>
              <w:right w:val="single" w:sz="4" w:space="0" w:color="auto"/>
            </w:tcBorders>
            <w:shd w:val="clear" w:color="auto" w:fill="auto"/>
            <w:noWrap/>
            <w:vAlign w:val="bottom"/>
            <w:hideMark/>
          </w:tcPr>
          <w:p w:rsidR="00025B02" w:rsidRPr="000E4440" w:rsidRDefault="00025B02" w:rsidP="00FF614E">
            <w:pPr>
              <w:spacing w:after="0" w:line="240" w:lineRule="auto"/>
              <w:jc w:val="right"/>
              <w:rPr>
                <w:rFonts w:asciiTheme="minorHAnsi" w:eastAsia="Times New Roman" w:hAnsiTheme="minorHAnsi" w:cstheme="minorHAnsi"/>
                <w:i/>
                <w:iCs/>
                <w:sz w:val="20"/>
                <w:szCs w:val="20"/>
                <w:lang w:bidi="th-TH"/>
              </w:rPr>
            </w:pPr>
            <w:r w:rsidRPr="000E4440">
              <w:rPr>
                <w:rFonts w:asciiTheme="minorHAnsi" w:eastAsia="Times New Roman" w:hAnsiTheme="minorHAnsi" w:cstheme="minorHAnsi"/>
                <w:i/>
                <w:iCs/>
                <w:sz w:val="20"/>
                <w:szCs w:val="20"/>
                <w:lang w:bidi="th-TH"/>
              </w:rPr>
              <w:t>6.8</w:t>
            </w:r>
          </w:p>
        </w:tc>
        <w:tc>
          <w:tcPr>
            <w:tcW w:w="1420" w:type="dxa"/>
            <w:tcBorders>
              <w:top w:val="dotted" w:sz="4" w:space="0" w:color="auto"/>
              <w:left w:val="single" w:sz="4" w:space="0" w:color="auto"/>
              <w:bottom w:val="single" w:sz="4" w:space="0" w:color="auto"/>
            </w:tcBorders>
            <w:shd w:val="clear" w:color="auto" w:fill="auto"/>
            <w:noWrap/>
            <w:vAlign w:val="bottom"/>
            <w:hideMark/>
          </w:tcPr>
          <w:p w:rsidR="00025B02" w:rsidRPr="00025B02" w:rsidRDefault="00025B02" w:rsidP="00025B02">
            <w:pPr>
              <w:spacing w:after="0" w:line="240" w:lineRule="auto"/>
              <w:rPr>
                <w:rFonts w:asciiTheme="minorHAnsi" w:hAnsiTheme="minorHAnsi" w:cstheme="minorHAnsi"/>
                <w:i/>
                <w:iCs/>
                <w:sz w:val="20"/>
                <w:szCs w:val="20"/>
              </w:rPr>
            </w:pPr>
            <w:r w:rsidRPr="00025B02">
              <w:rPr>
                <w:rFonts w:asciiTheme="minorHAnsi" w:hAnsiTheme="minorHAnsi" w:cstheme="minorHAnsi"/>
                <w:i/>
                <w:iCs/>
                <w:sz w:val="20"/>
                <w:szCs w:val="20"/>
              </w:rPr>
              <w:t xml:space="preserve">           36,224 </w:t>
            </w:r>
          </w:p>
        </w:tc>
        <w:tc>
          <w:tcPr>
            <w:tcW w:w="1220" w:type="dxa"/>
            <w:tcBorders>
              <w:top w:val="dotted" w:sz="4" w:space="0" w:color="auto"/>
              <w:bottom w:val="single" w:sz="4" w:space="0" w:color="auto"/>
            </w:tcBorders>
            <w:shd w:val="clear" w:color="auto" w:fill="auto"/>
            <w:noWrap/>
            <w:vAlign w:val="bottom"/>
            <w:hideMark/>
          </w:tcPr>
          <w:p w:rsidR="00025B02" w:rsidRPr="00025B02" w:rsidRDefault="00025B02" w:rsidP="00025B02">
            <w:pPr>
              <w:spacing w:after="0" w:line="240" w:lineRule="auto"/>
              <w:jc w:val="right"/>
              <w:rPr>
                <w:rFonts w:asciiTheme="minorHAnsi" w:hAnsiTheme="minorHAnsi" w:cstheme="minorHAnsi"/>
                <w:i/>
                <w:iCs/>
                <w:sz w:val="20"/>
                <w:szCs w:val="20"/>
              </w:rPr>
            </w:pPr>
            <w:r w:rsidRPr="00025B02">
              <w:rPr>
                <w:rFonts w:asciiTheme="minorHAnsi" w:hAnsiTheme="minorHAnsi" w:cstheme="minorHAnsi"/>
                <w:i/>
                <w:iCs/>
                <w:sz w:val="20"/>
                <w:szCs w:val="20"/>
              </w:rPr>
              <w:t>7.0</w:t>
            </w:r>
          </w:p>
        </w:tc>
      </w:tr>
      <w:tr w:rsidR="00025B02" w:rsidRPr="0034148C" w:rsidTr="00975152">
        <w:trPr>
          <w:trHeight w:val="264"/>
        </w:trPr>
        <w:tc>
          <w:tcPr>
            <w:tcW w:w="1904" w:type="dxa"/>
            <w:tcBorders>
              <w:top w:val="single" w:sz="4" w:space="0" w:color="auto"/>
            </w:tcBorders>
            <w:shd w:val="clear" w:color="auto" w:fill="auto"/>
            <w:noWrap/>
            <w:vAlign w:val="bottom"/>
            <w:hideMark/>
          </w:tcPr>
          <w:p w:rsidR="00025B02" w:rsidRPr="00975152" w:rsidRDefault="00025B02" w:rsidP="00263638">
            <w:pPr>
              <w:spacing w:after="0" w:line="240" w:lineRule="auto"/>
              <w:jc w:val="left"/>
              <w:rPr>
                <w:rFonts w:asciiTheme="minorHAnsi" w:eastAsia="Times New Roman" w:hAnsiTheme="minorHAnsi" w:cstheme="minorHAnsi"/>
                <w:b/>
                <w:bCs/>
                <w:sz w:val="20"/>
                <w:szCs w:val="20"/>
                <w:lang w:bidi="th-TH"/>
              </w:rPr>
            </w:pPr>
            <w:r>
              <w:rPr>
                <w:rFonts w:asciiTheme="minorHAnsi" w:eastAsia="Times New Roman" w:hAnsiTheme="minorHAnsi" w:cstheme="minorHAnsi"/>
                <w:b/>
                <w:bCs/>
                <w:sz w:val="20"/>
                <w:szCs w:val="20"/>
                <w:lang w:bidi="th-TH"/>
              </w:rPr>
              <w:t>Total</w:t>
            </w:r>
          </w:p>
        </w:tc>
        <w:tc>
          <w:tcPr>
            <w:tcW w:w="1136" w:type="dxa"/>
            <w:tcBorders>
              <w:top w:val="single" w:sz="4" w:space="0" w:color="auto"/>
              <w:bottom w:val="single" w:sz="4" w:space="0" w:color="auto"/>
            </w:tcBorders>
            <w:shd w:val="clear" w:color="auto" w:fill="auto"/>
            <w:noWrap/>
            <w:vAlign w:val="bottom"/>
            <w:hideMark/>
          </w:tcPr>
          <w:p w:rsidR="00025B02" w:rsidRPr="00975152" w:rsidRDefault="00025B02" w:rsidP="00FF614E">
            <w:pPr>
              <w:spacing w:after="0" w:line="240" w:lineRule="auto"/>
              <w:jc w:val="right"/>
              <w:rPr>
                <w:rFonts w:asciiTheme="minorHAnsi" w:eastAsia="Times New Roman" w:hAnsiTheme="minorHAnsi" w:cstheme="minorHAnsi"/>
                <w:b/>
                <w:bCs/>
                <w:sz w:val="20"/>
                <w:szCs w:val="20"/>
                <w:lang w:bidi="th-TH"/>
              </w:rPr>
            </w:pPr>
            <w:r w:rsidRPr="00975152">
              <w:rPr>
                <w:rFonts w:asciiTheme="minorHAnsi" w:eastAsia="Times New Roman" w:hAnsiTheme="minorHAnsi" w:cstheme="minorHAnsi"/>
                <w:b/>
                <w:bCs/>
                <w:sz w:val="20"/>
                <w:szCs w:val="20"/>
                <w:lang w:bidi="th-TH"/>
              </w:rPr>
              <w:t xml:space="preserve">           18</w:t>
            </w:r>
            <w:r>
              <w:rPr>
                <w:rFonts w:asciiTheme="minorHAnsi" w:eastAsia="Times New Roman" w:hAnsiTheme="minorHAnsi" w:cstheme="minorHAnsi"/>
                <w:b/>
                <w:bCs/>
                <w:sz w:val="20"/>
                <w:szCs w:val="20"/>
                <w:lang w:bidi="th-TH"/>
              </w:rPr>
              <w:t>8</w:t>
            </w:r>
            <w:r w:rsidRPr="00975152">
              <w:rPr>
                <w:rFonts w:asciiTheme="minorHAnsi" w:eastAsia="Times New Roman" w:hAnsiTheme="minorHAnsi" w:cstheme="minorHAnsi"/>
                <w:b/>
                <w:bCs/>
                <w:sz w:val="20"/>
                <w:szCs w:val="20"/>
                <w:lang w:bidi="th-TH"/>
              </w:rPr>
              <w:t>,</w:t>
            </w:r>
            <w:r>
              <w:rPr>
                <w:rFonts w:asciiTheme="minorHAnsi" w:eastAsia="Times New Roman" w:hAnsiTheme="minorHAnsi" w:cstheme="minorHAnsi"/>
                <w:b/>
                <w:bCs/>
                <w:sz w:val="20"/>
                <w:szCs w:val="20"/>
                <w:lang w:bidi="th-TH"/>
              </w:rPr>
              <w:t>620</w:t>
            </w:r>
            <w:r w:rsidRPr="00975152">
              <w:rPr>
                <w:rFonts w:asciiTheme="minorHAnsi" w:eastAsia="Times New Roman" w:hAnsiTheme="minorHAnsi" w:cstheme="minorHAnsi"/>
                <w:b/>
                <w:bCs/>
                <w:sz w:val="20"/>
                <w:szCs w:val="20"/>
                <w:lang w:bidi="th-TH"/>
              </w:rPr>
              <w:t xml:space="preserve"> </w:t>
            </w:r>
          </w:p>
        </w:tc>
        <w:tc>
          <w:tcPr>
            <w:tcW w:w="1204" w:type="dxa"/>
            <w:tcBorders>
              <w:top w:val="single" w:sz="4" w:space="0" w:color="auto"/>
              <w:bottom w:val="single" w:sz="4" w:space="0" w:color="auto"/>
              <w:right w:val="single" w:sz="4" w:space="0" w:color="auto"/>
            </w:tcBorders>
            <w:shd w:val="clear" w:color="auto" w:fill="auto"/>
            <w:noWrap/>
            <w:vAlign w:val="bottom"/>
            <w:hideMark/>
          </w:tcPr>
          <w:p w:rsidR="00025B02" w:rsidRPr="00975152" w:rsidRDefault="00025B02" w:rsidP="00FF614E">
            <w:pPr>
              <w:spacing w:after="0" w:line="240" w:lineRule="auto"/>
              <w:jc w:val="right"/>
              <w:rPr>
                <w:rFonts w:asciiTheme="minorHAnsi" w:eastAsia="Times New Roman" w:hAnsiTheme="minorHAnsi" w:cstheme="minorHAnsi"/>
                <w:b/>
                <w:bCs/>
                <w:sz w:val="20"/>
                <w:szCs w:val="20"/>
                <w:lang w:bidi="th-TH"/>
              </w:rPr>
            </w:pPr>
            <w:r w:rsidRPr="00975152">
              <w:rPr>
                <w:rFonts w:asciiTheme="minorHAnsi" w:eastAsia="Times New Roman" w:hAnsiTheme="minorHAnsi" w:cstheme="minorHAnsi"/>
                <w:b/>
                <w:bCs/>
                <w:sz w:val="20"/>
                <w:szCs w:val="20"/>
                <w:lang w:bidi="th-TH"/>
              </w:rPr>
              <w:t>100.0</w:t>
            </w:r>
          </w:p>
        </w:tc>
        <w:tc>
          <w:tcPr>
            <w:tcW w:w="1480" w:type="dxa"/>
            <w:tcBorders>
              <w:top w:val="single" w:sz="4" w:space="0" w:color="auto"/>
              <w:left w:val="single" w:sz="4" w:space="0" w:color="auto"/>
            </w:tcBorders>
            <w:shd w:val="clear" w:color="auto" w:fill="auto"/>
            <w:noWrap/>
            <w:vAlign w:val="bottom"/>
            <w:hideMark/>
          </w:tcPr>
          <w:p w:rsidR="00025B02" w:rsidRPr="00975152" w:rsidRDefault="00025B02" w:rsidP="00FF614E">
            <w:pPr>
              <w:spacing w:after="0" w:line="240" w:lineRule="auto"/>
              <w:jc w:val="right"/>
              <w:rPr>
                <w:rFonts w:asciiTheme="minorHAnsi" w:eastAsia="Times New Roman" w:hAnsiTheme="minorHAnsi" w:cstheme="minorHAnsi"/>
                <w:b/>
                <w:bCs/>
                <w:sz w:val="20"/>
                <w:szCs w:val="20"/>
                <w:lang w:bidi="th-TH"/>
              </w:rPr>
            </w:pPr>
            <w:r w:rsidRPr="00975152">
              <w:rPr>
                <w:rFonts w:asciiTheme="minorHAnsi" w:eastAsia="Times New Roman" w:hAnsiTheme="minorHAnsi" w:cstheme="minorHAnsi"/>
                <w:b/>
                <w:bCs/>
                <w:sz w:val="20"/>
                <w:szCs w:val="20"/>
                <w:lang w:bidi="th-TH"/>
              </w:rPr>
              <w:t xml:space="preserve">          327,659 </w:t>
            </w:r>
          </w:p>
        </w:tc>
        <w:tc>
          <w:tcPr>
            <w:tcW w:w="1130" w:type="dxa"/>
            <w:tcBorders>
              <w:top w:val="single" w:sz="4" w:space="0" w:color="auto"/>
              <w:bottom w:val="single" w:sz="4" w:space="0" w:color="auto"/>
              <w:right w:val="single" w:sz="4" w:space="0" w:color="auto"/>
            </w:tcBorders>
            <w:shd w:val="clear" w:color="auto" w:fill="auto"/>
            <w:noWrap/>
            <w:vAlign w:val="bottom"/>
            <w:hideMark/>
          </w:tcPr>
          <w:p w:rsidR="00025B02" w:rsidRPr="00975152" w:rsidRDefault="00025B02" w:rsidP="00FF614E">
            <w:pPr>
              <w:spacing w:after="0" w:line="240" w:lineRule="auto"/>
              <w:jc w:val="right"/>
              <w:rPr>
                <w:rFonts w:asciiTheme="minorHAnsi" w:eastAsia="Times New Roman" w:hAnsiTheme="minorHAnsi" w:cstheme="minorHAnsi"/>
                <w:b/>
                <w:bCs/>
                <w:sz w:val="20"/>
                <w:szCs w:val="20"/>
                <w:lang w:bidi="th-TH"/>
              </w:rPr>
            </w:pPr>
            <w:r w:rsidRPr="00975152">
              <w:rPr>
                <w:rFonts w:asciiTheme="minorHAnsi" w:eastAsia="Times New Roman" w:hAnsiTheme="minorHAnsi" w:cstheme="minorHAnsi"/>
                <w:b/>
                <w:bCs/>
                <w:sz w:val="20"/>
                <w:szCs w:val="20"/>
                <w:lang w:bidi="th-TH"/>
              </w:rPr>
              <w:t>100.0</w:t>
            </w:r>
          </w:p>
        </w:tc>
        <w:tc>
          <w:tcPr>
            <w:tcW w:w="1420" w:type="dxa"/>
            <w:tcBorders>
              <w:top w:val="single" w:sz="4" w:space="0" w:color="auto"/>
              <w:left w:val="single" w:sz="4" w:space="0" w:color="auto"/>
            </w:tcBorders>
            <w:shd w:val="clear" w:color="auto" w:fill="auto"/>
            <w:noWrap/>
            <w:vAlign w:val="bottom"/>
            <w:hideMark/>
          </w:tcPr>
          <w:p w:rsidR="00025B02" w:rsidRPr="00025B02" w:rsidRDefault="00025B02" w:rsidP="00025B02">
            <w:pPr>
              <w:spacing w:after="0" w:line="240" w:lineRule="auto"/>
              <w:rPr>
                <w:rFonts w:asciiTheme="minorHAnsi" w:hAnsiTheme="minorHAnsi" w:cstheme="minorHAnsi"/>
                <w:b/>
                <w:bCs/>
                <w:sz w:val="20"/>
                <w:szCs w:val="20"/>
              </w:rPr>
            </w:pPr>
            <w:r w:rsidRPr="00025B02">
              <w:rPr>
                <w:rFonts w:asciiTheme="minorHAnsi" w:hAnsiTheme="minorHAnsi" w:cstheme="minorHAnsi"/>
                <w:b/>
                <w:bCs/>
                <w:sz w:val="20"/>
                <w:szCs w:val="20"/>
              </w:rPr>
              <w:t xml:space="preserve">         516,279 </w:t>
            </w:r>
          </w:p>
        </w:tc>
        <w:tc>
          <w:tcPr>
            <w:tcW w:w="1220" w:type="dxa"/>
            <w:tcBorders>
              <w:top w:val="single" w:sz="4" w:space="0" w:color="auto"/>
            </w:tcBorders>
            <w:shd w:val="clear" w:color="auto" w:fill="auto"/>
            <w:noWrap/>
            <w:vAlign w:val="bottom"/>
            <w:hideMark/>
          </w:tcPr>
          <w:p w:rsidR="00025B02" w:rsidRPr="00025B02" w:rsidRDefault="00025B02" w:rsidP="00025B02">
            <w:pPr>
              <w:spacing w:after="0" w:line="240" w:lineRule="auto"/>
              <w:jc w:val="right"/>
              <w:rPr>
                <w:rFonts w:asciiTheme="minorHAnsi" w:hAnsiTheme="minorHAnsi" w:cstheme="minorHAnsi"/>
                <w:b/>
                <w:bCs/>
                <w:sz w:val="20"/>
                <w:szCs w:val="20"/>
              </w:rPr>
            </w:pPr>
            <w:r w:rsidRPr="00025B02">
              <w:rPr>
                <w:rFonts w:asciiTheme="minorHAnsi" w:hAnsiTheme="minorHAnsi" w:cstheme="minorHAnsi"/>
                <w:b/>
                <w:bCs/>
                <w:sz w:val="20"/>
                <w:szCs w:val="20"/>
              </w:rPr>
              <w:t>100.0</w:t>
            </w:r>
          </w:p>
        </w:tc>
      </w:tr>
    </w:tbl>
    <w:p w:rsidR="00527D70" w:rsidRPr="0034148C" w:rsidRDefault="00527D70" w:rsidP="00527D70">
      <w:pPr>
        <w:pStyle w:val="Figurenote"/>
      </w:pPr>
      <w:proofErr w:type="gramStart"/>
      <w:r w:rsidRPr="0034148C">
        <w:t>Source: Project monitoring database.</w:t>
      </w:r>
      <w:proofErr w:type="gramEnd"/>
    </w:p>
    <w:p w:rsidR="00691806" w:rsidRPr="0034148C" w:rsidRDefault="00691806" w:rsidP="00691806"/>
    <w:p w:rsidR="008C1551" w:rsidRPr="0034148C" w:rsidRDefault="008C1551" w:rsidP="008C1551">
      <w:pPr>
        <w:pStyle w:val="Heading2"/>
      </w:pPr>
      <w:bookmarkStart w:id="241" w:name="_Toc338717150"/>
      <w:bookmarkStart w:id="242" w:name="_Toc338750182"/>
      <w:bookmarkStart w:id="243" w:name="_Toc339368775"/>
      <w:r w:rsidRPr="0034148C">
        <w:t>5.2 Effectiveness of the pro</w:t>
      </w:r>
      <w:r w:rsidR="003F652C">
        <w:t>gram</w:t>
      </w:r>
      <w:r w:rsidRPr="0034148C">
        <w:t xml:space="preserve"> in improving quality of life in the communities</w:t>
      </w:r>
      <w:bookmarkEnd w:id="241"/>
      <w:bookmarkEnd w:id="242"/>
      <w:bookmarkEnd w:id="243"/>
    </w:p>
    <w:p w:rsidR="00272E9C" w:rsidRPr="0034148C" w:rsidRDefault="008E1FAA" w:rsidP="008E1FAA">
      <w:r w:rsidRPr="0034148C">
        <w:t xml:space="preserve">Site visits to the projects made clear the benefits that the communities continued to experience from both the social and economic projects. One very isolated IDP settlement built a children’s playground, which allowed recreation for the children close to the dwellings where the parents could monitor them. A wrestling facility had created a sense of community pride as matches </w:t>
      </w:r>
      <w:proofErr w:type="gramStart"/>
      <w:r w:rsidRPr="0034148C">
        <w:t>were held</w:t>
      </w:r>
      <w:proofErr w:type="gramEnd"/>
      <w:r w:rsidRPr="0034148C">
        <w:t xml:space="preserve"> with neighboring communities, involving both IDPs and local residents. </w:t>
      </w:r>
      <w:r w:rsidR="00C93F0C" w:rsidRPr="0034148C">
        <w:t xml:space="preserve">The school-based projects were particularly impressive; at one school that the team visited, the library and three of the classrooms </w:t>
      </w:r>
      <w:proofErr w:type="gramStart"/>
      <w:r w:rsidR="00C93F0C" w:rsidRPr="0034148C">
        <w:t>had been renovated</w:t>
      </w:r>
      <w:proofErr w:type="gramEnd"/>
      <w:r w:rsidR="00C93F0C" w:rsidRPr="0034148C">
        <w:t xml:space="preserve">. The contrast between these rehabilitated areas and the rest of the school, which was badly in need of repair, was striking. At all of these projects, it was clear that the community members took great pride in the </w:t>
      </w:r>
      <w:r w:rsidR="00297B61" w:rsidRPr="0034148C">
        <w:t>work they had done and the contribution they had made to the community.</w:t>
      </w:r>
    </w:p>
    <w:p w:rsidR="008C1551" w:rsidRPr="0034148C" w:rsidRDefault="008C1551" w:rsidP="008E1FAA">
      <w:r w:rsidRPr="0034148C">
        <w:t>The economic infrastructure FGD participants came mainly from communities that had done irrigation projects. They said that the realization of the projects brought significant improvement to the economic situation of their communities. Harvests were larger and brought higher incomes. Besides this, having enough water means that the people can choose what crops to plant, which means a lot for their economy. They also do not need to buy agricultural products for household needs, because they have almost everything they need in the village now.</w:t>
      </w:r>
    </w:p>
    <w:p w:rsidR="004C37E4" w:rsidRPr="0034148C" w:rsidRDefault="004C37E4" w:rsidP="004C37E4">
      <w:r w:rsidRPr="0034148C">
        <w:t xml:space="preserve">The social infrastructure FGD participants also listed a number of benefits resulting from the projects. </w:t>
      </w:r>
      <w:r w:rsidR="009A7116" w:rsidRPr="0034148C">
        <w:t xml:space="preserve">These included </w:t>
      </w:r>
      <w:r w:rsidRPr="0034148C">
        <w:t>that young people are busy with sport activities</w:t>
      </w:r>
      <w:r w:rsidR="009A7116" w:rsidRPr="0034148C">
        <w:t xml:space="preserve">, with </w:t>
      </w:r>
      <w:r w:rsidRPr="0034148C">
        <w:t>studying dancing</w:t>
      </w:r>
      <w:r w:rsidR="009A7116" w:rsidRPr="0034148C">
        <w:t xml:space="preserve"> and other activities or </w:t>
      </w:r>
      <w:r w:rsidRPr="0034148C">
        <w:t xml:space="preserve">working </w:t>
      </w:r>
      <w:r w:rsidR="009A7116" w:rsidRPr="0034148C">
        <w:t>at</w:t>
      </w:r>
      <w:r w:rsidRPr="0034148C">
        <w:t xml:space="preserve"> the cultural center, and</w:t>
      </w:r>
      <w:r w:rsidR="009A7116" w:rsidRPr="0034148C">
        <w:t xml:space="preserve"> that</w:t>
      </w:r>
      <w:r w:rsidRPr="0034148C">
        <w:t xml:space="preserve"> children use the playground</w:t>
      </w:r>
      <w:r w:rsidR="009A7116" w:rsidRPr="0034148C">
        <w:t xml:space="preserve">. All of these help the young people lead a more healthy life </w:t>
      </w:r>
      <w:r w:rsidRPr="0034148C">
        <w:t xml:space="preserve">According to the participants, the most significant change the projects brought to the life of the communities was helping the children and young people overcome depression caused by war and displacement, bringing more joy to their lives. </w:t>
      </w:r>
    </w:p>
    <w:p w:rsidR="00CD5D67" w:rsidRPr="0034148C" w:rsidRDefault="00CD5D67" w:rsidP="00CD5D67">
      <w:pPr>
        <w:pStyle w:val="Heading2"/>
      </w:pPr>
      <w:bookmarkStart w:id="244" w:name="_Toc338717151"/>
      <w:bookmarkStart w:id="245" w:name="_Toc338750183"/>
      <w:bookmarkStart w:id="246" w:name="_Toc339368776"/>
      <w:r w:rsidRPr="0034148C">
        <w:lastRenderedPageBreak/>
        <w:t xml:space="preserve">5.2 Effectiveness of the </w:t>
      </w:r>
      <w:r w:rsidR="003F652C">
        <w:t xml:space="preserve">program </w:t>
      </w:r>
      <w:r w:rsidRPr="0034148C">
        <w:t>at increasing positive interactions between IDPs and local residents</w:t>
      </w:r>
      <w:bookmarkEnd w:id="244"/>
      <w:bookmarkEnd w:id="245"/>
      <w:bookmarkEnd w:id="246"/>
    </w:p>
    <w:p w:rsidR="00082821" w:rsidRPr="0034148C" w:rsidRDefault="008C1551" w:rsidP="00082821">
      <w:r w:rsidRPr="0034148C">
        <w:t xml:space="preserve">The process of determining community priorities, making decisions, and working together on the projects had created and strengthened relationships </w:t>
      </w:r>
      <w:r w:rsidR="00C15B37" w:rsidRPr="0034148C">
        <w:t xml:space="preserve">in the planning groups. Besides this, the benefits brought by the project had improved the level of living in the communities, which also had a positive impact. </w:t>
      </w:r>
      <w:r w:rsidRPr="0034148C">
        <w:t xml:space="preserve">FGD participants agreed that the projects </w:t>
      </w:r>
      <w:r w:rsidR="00C15B37" w:rsidRPr="0034148C">
        <w:t>had</w:t>
      </w:r>
      <w:r w:rsidR="00082821" w:rsidRPr="0034148C">
        <w:t xml:space="preserve"> assisted better integration of IDPs with</w:t>
      </w:r>
      <w:r w:rsidR="00C15B37" w:rsidRPr="0034148C">
        <w:t xml:space="preserve"> the</w:t>
      </w:r>
      <w:r w:rsidR="00082821" w:rsidRPr="0034148C">
        <w:t xml:space="preserve"> local population and helped to solve conflicts and to improve relationships.   </w:t>
      </w:r>
    </w:p>
    <w:p w:rsidR="00082821" w:rsidRPr="0034148C" w:rsidRDefault="00082821" w:rsidP="00C15B37">
      <w:pPr>
        <w:pStyle w:val="Quote"/>
      </w:pPr>
      <w:r w:rsidRPr="0034148C">
        <w:t xml:space="preserve">Before this was done, </w:t>
      </w:r>
      <w:proofErr w:type="gramStart"/>
      <w:r w:rsidRPr="0034148C">
        <w:t xml:space="preserve">we (IDPs) and </w:t>
      </w:r>
      <w:r w:rsidR="00C15B37" w:rsidRPr="0034148C">
        <w:t>(the local</w:t>
      </w:r>
      <w:proofErr w:type="gramEnd"/>
      <w:r w:rsidR="00C15B37" w:rsidRPr="0034148C">
        <w:t>)</w:t>
      </w:r>
      <w:r w:rsidRPr="0034148C">
        <w:t xml:space="preserve"> population quarreled </w:t>
      </w:r>
      <w:r w:rsidR="00C15B37" w:rsidRPr="0034148C">
        <w:t xml:space="preserve">every year </w:t>
      </w:r>
      <w:r w:rsidRPr="0034148C">
        <w:t>because of the water and made peace only in autumn when pigs were killed. The project helped us to improve</w:t>
      </w:r>
      <w:r w:rsidR="00C15B37" w:rsidRPr="0034148C">
        <w:t xml:space="preserve"> our relationship</w:t>
      </w:r>
      <w:r w:rsidRPr="0034148C">
        <w:t>. (</w:t>
      </w:r>
      <w:r w:rsidR="00C15B37" w:rsidRPr="0034148C">
        <w:t>IDP, economic infrastructure FGD</w:t>
      </w:r>
      <w:r w:rsidRPr="0034148C">
        <w:t>)</w:t>
      </w:r>
    </w:p>
    <w:p w:rsidR="009A7116" w:rsidRPr="0034148C" w:rsidRDefault="009A7116" w:rsidP="009A7116">
      <w:r w:rsidRPr="0034148C">
        <w:t xml:space="preserve">The social infrastructure FGD participants also said that the projects assisted in better integration of IDPs in local communities, </w:t>
      </w:r>
      <w:proofErr w:type="gramStart"/>
      <w:r w:rsidRPr="0034148C">
        <w:t>not only because</w:t>
      </w:r>
      <w:proofErr w:type="gramEnd"/>
      <w:r w:rsidRPr="0034148C">
        <w:t xml:space="preserve"> everyone uses the resulting facilities, but also because they worked on construction together and this work brought them closer to each other. </w:t>
      </w:r>
      <w:proofErr w:type="gramStart"/>
      <w:r w:rsidRPr="0034148C">
        <w:t>Also</w:t>
      </w:r>
      <w:proofErr w:type="gramEnd"/>
      <w:r w:rsidRPr="0034148C">
        <w:t xml:space="preserve"> the children have gotten to know each other better, going together to dancing </w:t>
      </w:r>
      <w:r w:rsidR="006440BC">
        <w:t xml:space="preserve">lessons </w:t>
      </w:r>
      <w:r w:rsidRPr="0034148C">
        <w:t xml:space="preserve">or meeting at the playground.   </w:t>
      </w:r>
    </w:p>
    <w:p w:rsidR="00664A4B" w:rsidRPr="0034148C" w:rsidRDefault="00664A4B" w:rsidP="00664A4B">
      <w:pPr>
        <w:pStyle w:val="Heading2"/>
      </w:pPr>
      <w:bookmarkStart w:id="247" w:name="_Toc338717152"/>
      <w:bookmarkStart w:id="248" w:name="_Toc338750184"/>
      <w:bookmarkStart w:id="249" w:name="_Toc339368777"/>
      <w:r w:rsidRPr="0034148C">
        <w:t>5.3 Sustainability</w:t>
      </w:r>
      <w:bookmarkEnd w:id="247"/>
      <w:bookmarkEnd w:id="248"/>
      <w:bookmarkEnd w:id="249"/>
    </w:p>
    <w:p w:rsidR="00664A4B" w:rsidRPr="0034148C" w:rsidRDefault="00664A4B" w:rsidP="00664A4B">
      <w:r w:rsidRPr="0034148C">
        <w:t xml:space="preserve">To assess the sustainability of the project, both the viability of the finished infrastructure projects and the continuance of community relationships </w:t>
      </w:r>
      <w:proofErr w:type="gramStart"/>
      <w:r w:rsidRPr="0034148C">
        <w:t>should be examined</w:t>
      </w:r>
      <w:proofErr w:type="gramEnd"/>
      <w:r w:rsidRPr="0034148C">
        <w:t xml:space="preserve">. </w:t>
      </w:r>
      <w:r w:rsidR="00E218EB" w:rsidRPr="0034148C">
        <w:t xml:space="preserve">The research team made site visits to four of the infrastructure projects. </w:t>
      </w:r>
      <w:proofErr w:type="gramStart"/>
      <w:r w:rsidR="00E218EB" w:rsidRPr="0034148C">
        <w:t>All were clearly being used by the communities</w:t>
      </w:r>
      <w:proofErr w:type="gramEnd"/>
      <w:r w:rsidR="00E218EB" w:rsidRPr="0034148C">
        <w:t xml:space="preserve">. </w:t>
      </w:r>
      <w:r w:rsidR="00297B61" w:rsidRPr="0034148C">
        <w:t>The settlement that built the children’s playground had designed it in such a way that it could be disassembled and moved if the community was relocated (they had been living in temporary housing</w:t>
      </w:r>
      <w:r w:rsidR="00297B88" w:rsidRPr="0034148C">
        <w:t xml:space="preserve"> for more than three years</w:t>
      </w:r>
      <w:r w:rsidR="00297B61" w:rsidRPr="0034148C">
        <w:t>).</w:t>
      </w:r>
      <w:r w:rsidR="00082821" w:rsidRPr="0034148C">
        <w:t xml:space="preserve"> Both the FGD participants and the residents at the site visits said that some of the projects were used by people from outside the communities as well</w:t>
      </w:r>
      <w:r w:rsidR="00082821" w:rsidRPr="0034148C">
        <w:rPr>
          <w:rFonts w:ascii="Calibri" w:hAnsi="Calibri" w:cs="Calibri"/>
        </w:rPr>
        <w:t>—</w:t>
      </w:r>
      <w:r w:rsidR="00082821" w:rsidRPr="0034148C">
        <w:t>for example, some of the recreation facilities and the irrigation systems.</w:t>
      </w:r>
    </w:p>
    <w:p w:rsidR="00E218EB" w:rsidRPr="0034148C" w:rsidRDefault="00E218EB" w:rsidP="00664A4B">
      <w:r w:rsidRPr="0034148C">
        <w:t xml:space="preserve">The Local Initiatives Committees that were formed to implement the projects were not legally formalized as community-based organizations, </w:t>
      </w:r>
      <w:proofErr w:type="gramStart"/>
      <w:r w:rsidRPr="0034148C">
        <w:t>but nevertheless</w:t>
      </w:r>
      <w:proofErr w:type="gramEnd"/>
      <w:r w:rsidRPr="0034148C">
        <w:t xml:space="preserve"> nearly all of them still exist beyond the project period. Some still are working together to represent the community to the municipality on issues of importance; many are still trying to </w:t>
      </w:r>
      <w:proofErr w:type="gramStart"/>
      <w:r w:rsidRPr="0034148C">
        <w:t>raise</w:t>
      </w:r>
      <w:proofErr w:type="gramEnd"/>
      <w:r w:rsidRPr="0034148C">
        <w:t xml:space="preserve"> funding to initiate new projects. Those from small communities tend to </w:t>
      </w:r>
      <w:proofErr w:type="gramStart"/>
      <w:r w:rsidRPr="0034148C">
        <w:t>be more connected</w:t>
      </w:r>
      <w:proofErr w:type="gramEnd"/>
      <w:r w:rsidRPr="0034148C">
        <w:t xml:space="preserve"> than those from the municipalities.</w:t>
      </w:r>
    </w:p>
    <w:p w:rsidR="00331C00" w:rsidRPr="0034148C" w:rsidRDefault="00331C00" w:rsidP="00331C00">
      <w:r w:rsidRPr="0034148C">
        <w:t xml:space="preserve">Participants from the economic infrastructure FGD said that the initiative </w:t>
      </w:r>
      <w:proofErr w:type="gramStart"/>
      <w:r w:rsidRPr="0034148C">
        <w:t>groups still</w:t>
      </w:r>
      <w:proofErr w:type="gramEnd"/>
      <w:r w:rsidRPr="0034148C">
        <w:t xml:space="preserve"> remain active, busy with the maintenance of the rehabilitated irrigation systems. </w:t>
      </w:r>
      <w:r w:rsidR="00F51972" w:rsidRPr="0034148C">
        <w:t xml:space="preserve">The </w:t>
      </w:r>
      <w:r w:rsidRPr="0034148C">
        <w:t xml:space="preserve">groups also helped some </w:t>
      </w:r>
      <w:r w:rsidR="00F51972" w:rsidRPr="0034148C">
        <w:t xml:space="preserve">community residents with some new agricultural initiatives, such as breeding rabbits. These participants said that although </w:t>
      </w:r>
      <w:r w:rsidRPr="0034148C">
        <w:t xml:space="preserve">the initiative groups have not tried to </w:t>
      </w:r>
      <w:r w:rsidR="00F51972" w:rsidRPr="0034148C">
        <w:t xml:space="preserve">get funding for any new </w:t>
      </w:r>
      <w:r w:rsidRPr="0034148C">
        <w:t>project</w:t>
      </w:r>
      <w:r w:rsidR="00F51972" w:rsidRPr="0034148C">
        <w:t>s, they had used</w:t>
      </w:r>
      <w:r w:rsidRPr="0034148C">
        <w:t xml:space="preserve"> the planning process established </w:t>
      </w:r>
      <w:proofErr w:type="gramStart"/>
      <w:r w:rsidRPr="0034148C">
        <w:t>as a result</w:t>
      </w:r>
      <w:proofErr w:type="gramEnd"/>
      <w:r w:rsidRPr="0034148C">
        <w:t xml:space="preserve"> of the program for solving other existing problems.  </w:t>
      </w:r>
    </w:p>
    <w:p w:rsidR="00495DC7" w:rsidRPr="0034148C" w:rsidRDefault="00495DC7" w:rsidP="005E2F20">
      <w:pPr>
        <w:pStyle w:val="Heading2"/>
      </w:pPr>
      <w:bookmarkStart w:id="250" w:name="_Toc338717153"/>
      <w:bookmarkStart w:id="251" w:name="_Toc338750185"/>
      <w:bookmarkStart w:id="252" w:name="_Toc339368778"/>
      <w:r w:rsidRPr="0034148C">
        <w:lastRenderedPageBreak/>
        <w:t>5.4 Challenges of the project</w:t>
      </w:r>
      <w:bookmarkEnd w:id="250"/>
      <w:bookmarkEnd w:id="251"/>
      <w:bookmarkEnd w:id="252"/>
    </w:p>
    <w:p w:rsidR="00495DC7" w:rsidRPr="0034148C" w:rsidRDefault="00495DC7" w:rsidP="00495DC7">
      <w:r w:rsidRPr="0034148C">
        <w:t xml:space="preserve">CARE staff said that it took time to build trust in the communities; in particular, for community residents to believe that project </w:t>
      </w:r>
      <w:proofErr w:type="gramStart"/>
      <w:r w:rsidRPr="0034148C">
        <w:t>staff were</w:t>
      </w:r>
      <w:proofErr w:type="gramEnd"/>
      <w:r w:rsidRPr="0034148C">
        <w:t xml:space="preserve"> sincere about the grants for the infrastructure projects. Residents said that many organizations had visited them and made promises about projects that never materialized.</w:t>
      </w:r>
      <w:r w:rsidR="00297B88" w:rsidRPr="0034148C">
        <w:t xml:space="preserve"> Credibility </w:t>
      </w:r>
      <w:proofErr w:type="gramStart"/>
      <w:r w:rsidR="00297B88" w:rsidRPr="0034148C">
        <w:t>was</w:t>
      </w:r>
      <w:r w:rsidR="00F51972" w:rsidRPr="0034148C">
        <w:t xml:space="preserve"> </w:t>
      </w:r>
      <w:r w:rsidR="001F1D61" w:rsidRPr="0034148C">
        <w:t>built</w:t>
      </w:r>
      <w:proofErr w:type="gramEnd"/>
      <w:r w:rsidR="001F1D61" w:rsidRPr="0034148C">
        <w:t xml:space="preserve"> when community members saw the projects take shape; some communities who were not interested in the first year of implementation then submitted proposals in the second year.</w:t>
      </w:r>
      <w:r w:rsidR="00F51972" w:rsidRPr="0034148C">
        <w:t xml:space="preserve"> FGD participants admitted that in the beginning some of them did not want even to meet with CARE, but now they have trust towards the staff and consider them </w:t>
      </w:r>
      <w:proofErr w:type="gramStart"/>
      <w:r w:rsidR="00F51972" w:rsidRPr="0034148C">
        <w:t>to be highly</w:t>
      </w:r>
      <w:proofErr w:type="gramEnd"/>
      <w:r w:rsidR="00F51972" w:rsidRPr="0034148C">
        <w:t xml:space="preserve"> qualified.   </w:t>
      </w:r>
      <w:r w:rsidR="00BF2386" w:rsidRPr="0034148C">
        <w:t>They also mentioned that they are happy with the fact that CARE asked their opinion on everything and “has not done anything without asking”.</w:t>
      </w:r>
    </w:p>
    <w:p w:rsidR="00297B88" w:rsidRPr="0034148C" w:rsidRDefault="002F0A42" w:rsidP="00495DC7">
      <w:r w:rsidRPr="0034148C">
        <w:t xml:space="preserve">One of the main challenges faced by the project was that the amount of funding available was not sufficient to address the top priorities of the communities. Irrigation, water and sanitation projects were often beyond the scope of the project, which created disappointment in some communities. </w:t>
      </w:r>
      <w:r w:rsidR="00297B61" w:rsidRPr="0034148C">
        <w:t xml:space="preserve">At one or two of the sites that the research team visited, it was clear that the single project </w:t>
      </w:r>
      <w:r w:rsidR="00297B88" w:rsidRPr="0034148C">
        <w:t>(such as a water tap) did not begin to fulfill all of the real and vital needs. The settlement that put in a water tap</w:t>
      </w:r>
      <w:r w:rsidR="00CD39F6" w:rsidRPr="0034148C">
        <w:t xml:space="preserve"> had wanted to put in a fence around the community to keep out animals, but could not afford it.</w:t>
      </w:r>
    </w:p>
    <w:p w:rsidR="002F0A42" w:rsidRPr="0034148C" w:rsidRDefault="002F0A42" w:rsidP="00495DC7">
      <w:r w:rsidRPr="0034148C">
        <w:t xml:space="preserve">However, the nature of the </w:t>
      </w:r>
      <w:proofErr w:type="gramStart"/>
      <w:r w:rsidRPr="0034148C">
        <w:t>project which required a commitment for communities to make decisions and contribute labor themselves</w:t>
      </w:r>
      <w:proofErr w:type="gramEnd"/>
      <w:r w:rsidRPr="0034148C">
        <w:t xml:space="preserve"> created an understanding that the project was not an aid program but a way for communities to work to help themselves.</w:t>
      </w:r>
      <w:r w:rsidR="00297B88" w:rsidRPr="0034148C">
        <w:t xml:space="preserve"> Community members also commented that at least CARE had come through with their commitment.</w:t>
      </w:r>
    </w:p>
    <w:p w:rsidR="00297B88" w:rsidRPr="0034148C" w:rsidRDefault="00297B88" w:rsidP="00297B88">
      <w:pPr>
        <w:pStyle w:val="Quote"/>
      </w:pPr>
      <w:r w:rsidRPr="0034148C">
        <w:t>If all of the other organizations who just came to talk to us and write down our problems had done as much as CARE did, we would be in good shape. (IDP, social infrastructure project site)</w:t>
      </w:r>
    </w:p>
    <w:p w:rsidR="00CD39F6" w:rsidRDefault="00CD39F6" w:rsidP="00CD39F6">
      <w:r w:rsidRPr="0034148C">
        <w:t>Some of the residents said that although their Local Initiatives Committee was still working together, they were frustrated at the inability to obtain funding for needed projects such as irrigation, a bridge between their settlement and their land, better sanitation etc.</w:t>
      </w:r>
    </w:p>
    <w:p w:rsidR="00D4325B" w:rsidRPr="0034148C" w:rsidRDefault="00D4325B" w:rsidP="00CD39F6">
      <w:r>
        <w:t xml:space="preserve">It </w:t>
      </w:r>
      <w:proofErr w:type="gramStart"/>
      <w:r>
        <w:t>should be noted</w:t>
      </w:r>
      <w:proofErr w:type="gramEnd"/>
      <w:r>
        <w:t xml:space="preserve"> also that the majority of the projects were planned and implemented by both IDPs and local residents, a few more isolated IDP communities created projects on their own. This seems to be an unavoidable exception for these communities.</w:t>
      </w:r>
    </w:p>
    <w:p w:rsidR="005E2F20" w:rsidRDefault="00495DC7" w:rsidP="005E2F20">
      <w:pPr>
        <w:pStyle w:val="Heading2"/>
      </w:pPr>
      <w:bookmarkStart w:id="253" w:name="_Toc338717154"/>
      <w:bookmarkStart w:id="254" w:name="_Toc338750186"/>
      <w:bookmarkStart w:id="255" w:name="_Toc339368779"/>
      <w:r w:rsidRPr="0034148C">
        <w:t>5.5</w:t>
      </w:r>
      <w:r w:rsidR="005E2F20" w:rsidRPr="0034148C">
        <w:t xml:space="preserve"> Summary</w:t>
      </w:r>
      <w:bookmarkEnd w:id="253"/>
      <w:bookmarkEnd w:id="254"/>
      <w:bookmarkEnd w:id="255"/>
    </w:p>
    <w:p w:rsidR="009B1CF0" w:rsidRPr="009B1CF0" w:rsidRDefault="009B1CF0" w:rsidP="009B1CF0">
      <w:proofErr w:type="gramStart"/>
      <w:r>
        <w:t>There are several key elements that</w:t>
      </w:r>
      <w:proofErr w:type="gramEnd"/>
      <w:r>
        <w:t xml:space="preserve"> contributed to the success of the infrastructure project. One is that CARE set up a transparent and equitable process for the planning groups and Local Initiative Committees to form. Another is that, while CARE provided expert technical support and guided the groups toward choosing an affordable and viable project, they did not directly take part in any decision making. The project created opportunities for committees to work </w:t>
      </w:r>
      <w:r>
        <w:lastRenderedPageBreak/>
        <w:t xml:space="preserve">together on something of value to the community, and it is clear that the relationships formed have been </w:t>
      </w:r>
      <w:r w:rsidR="00743485">
        <w:t>long lasting</w:t>
      </w:r>
      <w:r>
        <w:t>.</w:t>
      </w:r>
    </w:p>
    <w:p w:rsidR="007C33B9" w:rsidRPr="0034148C" w:rsidRDefault="007C33B9" w:rsidP="007C33B9"/>
    <w:p w:rsidR="007C33B9" w:rsidRPr="0034148C" w:rsidRDefault="007C33B9" w:rsidP="00555BE4">
      <w:pPr>
        <w:pStyle w:val="Heading1"/>
      </w:pPr>
      <w:bookmarkStart w:id="256" w:name="_Toc338325594"/>
      <w:bookmarkStart w:id="257" w:name="_Toc338572136"/>
      <w:bookmarkStart w:id="258" w:name="_Toc338717155"/>
      <w:bookmarkStart w:id="259" w:name="_Toc338750187"/>
      <w:bookmarkStart w:id="260" w:name="_Toc339368780"/>
      <w:r w:rsidRPr="0034148C">
        <w:t xml:space="preserve">6. Component 3: Support to </w:t>
      </w:r>
      <w:r w:rsidR="003F652C">
        <w:t>C</w:t>
      </w:r>
      <w:r w:rsidRPr="0034148C">
        <w:t xml:space="preserve">ivil </w:t>
      </w:r>
      <w:r w:rsidR="003F652C">
        <w:t>S</w:t>
      </w:r>
      <w:r w:rsidRPr="0034148C">
        <w:t>ociety</w:t>
      </w:r>
      <w:bookmarkEnd w:id="256"/>
      <w:bookmarkEnd w:id="257"/>
      <w:bookmarkEnd w:id="258"/>
      <w:bookmarkEnd w:id="259"/>
      <w:bookmarkEnd w:id="260"/>
    </w:p>
    <w:p w:rsidR="002476C3" w:rsidRPr="0034148C" w:rsidRDefault="002476C3" w:rsidP="002476C3">
      <w:r w:rsidRPr="0034148C">
        <w:t xml:space="preserve">The overarching goal of the SIIMS project is to help IDPs and local impacted communities integrate into their new environment. Within the framework of this goal, a key output of the project is that internally displaced persons (IDP) and local community members (both men and women) participate in civil society organization (CSO) projects that enable integration. To this end, the SIIMS project provided training to CSO representatives with the aim of improving their capacity to deliver social services and disbursed grants of up to $10.000 for IDP support and integration projects. </w:t>
      </w:r>
    </w:p>
    <w:p w:rsidR="002476C3" w:rsidRPr="0034148C" w:rsidRDefault="002476C3" w:rsidP="002476C3">
      <w:r w:rsidRPr="0034148C">
        <w:t xml:space="preserve">During the first year of the project, nineteen local organizations in Shida Kartli and Kvemo Kartli </w:t>
      </w:r>
      <w:proofErr w:type="gramStart"/>
      <w:r w:rsidRPr="0034148C">
        <w:t>were trained</w:t>
      </w:r>
      <w:proofErr w:type="gramEnd"/>
      <w:r w:rsidRPr="0034148C">
        <w:t xml:space="preserve"> in gender issues, conflict sensitivity, communication and IDP legal issues. Attending the training was a precondition for submitting a proposal to the first round grant competition. The objective of the grant competition was to identify effective civil initiatives supporting integration of IDPs. Within this objective, the priorities of the call for proposals were:</w:t>
      </w:r>
    </w:p>
    <w:p w:rsidR="002476C3" w:rsidRPr="0034148C" w:rsidRDefault="002476C3" w:rsidP="002476C3">
      <w:pPr>
        <w:pStyle w:val="bulletedtext"/>
      </w:pPr>
      <w:r w:rsidRPr="0034148C">
        <w:t>Consulting and awareness raising (on IDP rights and legal issues)</w:t>
      </w:r>
    </w:p>
    <w:p w:rsidR="002476C3" w:rsidRPr="0034148C" w:rsidRDefault="002476C3" w:rsidP="002476C3">
      <w:pPr>
        <w:pStyle w:val="bulletedtext"/>
      </w:pPr>
      <w:r w:rsidRPr="0034148C">
        <w:t>Gender issues</w:t>
      </w:r>
    </w:p>
    <w:p w:rsidR="002476C3" w:rsidRPr="0034148C" w:rsidRDefault="002476C3" w:rsidP="002476C3">
      <w:pPr>
        <w:pStyle w:val="bulletedtext"/>
      </w:pPr>
      <w:r w:rsidRPr="0034148C">
        <w:t>Conflict management</w:t>
      </w:r>
    </w:p>
    <w:p w:rsidR="002476C3" w:rsidRPr="0034148C" w:rsidRDefault="002476C3" w:rsidP="002476C3">
      <w:r w:rsidRPr="0034148C">
        <w:t xml:space="preserve">Six NGOs </w:t>
      </w:r>
      <w:proofErr w:type="gramStart"/>
      <w:r w:rsidR="00743485" w:rsidRPr="0034148C">
        <w:t>were</w:t>
      </w:r>
      <w:r w:rsidR="00743485">
        <w:t xml:space="preserve"> </w:t>
      </w:r>
      <w:r w:rsidR="00743485" w:rsidRPr="0034148C">
        <w:t>awarded</w:t>
      </w:r>
      <w:proofErr w:type="gramEnd"/>
      <w:r w:rsidRPr="0034148C">
        <w:t xml:space="preserve"> grants. An internal evaluation of the first round of grants indicated that SIIMS needed to work with CSOs to build their capacity to raise funds and influence government policies. An invitation </w:t>
      </w:r>
      <w:proofErr w:type="gramStart"/>
      <w:r w:rsidRPr="0034148C">
        <w:t>was, therefore, issued</w:t>
      </w:r>
      <w:proofErr w:type="gramEnd"/>
      <w:r w:rsidRPr="0034148C">
        <w:t xml:space="preserve"> to a training workshop on proposal writing and project management. Attending this training was a precondition for participation in the second round of the grant competition. The stated objectives for the second round of grants were the same as the first round, but during the training </w:t>
      </w:r>
      <w:proofErr w:type="gramStart"/>
      <w:r w:rsidRPr="0034148C">
        <w:t>workshop</w:t>
      </w:r>
      <w:proofErr w:type="gramEnd"/>
      <w:r w:rsidRPr="0034148C">
        <w:t xml:space="preserve"> it was announced, verbally, that proposals for the second round should focus on advocacy initiatives aimed at solving problems faced by the IDP population. As a result, 23 applications </w:t>
      </w:r>
      <w:proofErr w:type="gramStart"/>
      <w:r w:rsidRPr="0034148C">
        <w:t>were received</w:t>
      </w:r>
      <w:proofErr w:type="gramEnd"/>
      <w:r w:rsidRPr="0034148C">
        <w:t xml:space="preserve"> and the best nine advocacy initiatives were selected for funding. </w:t>
      </w:r>
    </w:p>
    <w:p w:rsidR="00701E17" w:rsidRPr="0034148C" w:rsidRDefault="00701E17" w:rsidP="00701E17">
      <w:r w:rsidRPr="0034148C">
        <w:t>Project outputs as defined in the logical framework were</w:t>
      </w:r>
      <w:r w:rsidR="009150CA" w:rsidRPr="0034148C">
        <w:t>: 1)</w:t>
      </w:r>
      <w:r w:rsidRPr="0034148C">
        <w:t xml:space="preserve"> for</w:t>
      </w:r>
      <w:r w:rsidR="009150CA" w:rsidRPr="0034148C">
        <w:t xml:space="preserve"> at least 20 local Civil Society Organizations (CSOs) to improve their capacity to deliver social services; 2) for CSOs to implement at least 15 projects addressing conflict management/resolution, gender and legal issues; and 3) for at least 3,000 individuals to participate in the CSO projects.</w:t>
      </w:r>
      <w:r w:rsidRPr="0034148C">
        <w:t xml:space="preserve"> </w:t>
      </w:r>
      <w:r w:rsidR="009150CA" w:rsidRPr="0034148C">
        <w:t xml:space="preserve">These outputs </w:t>
      </w:r>
      <w:r w:rsidRPr="0034148C">
        <w:t>contribut</w:t>
      </w:r>
      <w:r w:rsidR="009150CA" w:rsidRPr="0034148C">
        <w:t>e</w:t>
      </w:r>
      <w:r w:rsidRPr="0034148C">
        <w:t xml:space="preserve"> to the specific objective of increasing positive interactions between IDPs and local community members.</w:t>
      </w:r>
    </w:p>
    <w:p w:rsidR="007C33B9" w:rsidRPr="0034148C" w:rsidRDefault="00EC25D0" w:rsidP="00EC25D0">
      <w:pPr>
        <w:pStyle w:val="Heading2"/>
      </w:pPr>
      <w:bookmarkStart w:id="261" w:name="_Toc338717156"/>
      <w:bookmarkStart w:id="262" w:name="_Toc338750188"/>
      <w:bookmarkStart w:id="263" w:name="_Toc339368781"/>
      <w:r w:rsidRPr="0034148C">
        <w:lastRenderedPageBreak/>
        <w:t>6.1 Achievements of the program</w:t>
      </w:r>
      <w:bookmarkEnd w:id="261"/>
      <w:bookmarkEnd w:id="262"/>
      <w:bookmarkEnd w:id="263"/>
    </w:p>
    <w:p w:rsidR="008D113E" w:rsidRPr="0034148C" w:rsidRDefault="008D113E" w:rsidP="008D113E">
      <w:r w:rsidRPr="0034148C">
        <w:t>Nineteen CSOs attended the training provided in advance of the first round of the grants competition. Subsequently, 23 organizations attended the proposal writing training provided in advance of the second round of the grants competition.</w:t>
      </w:r>
    </w:p>
    <w:p w:rsidR="008D113E" w:rsidRPr="0034148C" w:rsidRDefault="008D113E" w:rsidP="008D113E">
      <w:r w:rsidRPr="0034148C">
        <w:t xml:space="preserve">According to the SIIMS project monitoring data, </w:t>
      </w:r>
      <w:r w:rsidRPr="0034148C">
        <w:rPr>
          <w:bCs/>
        </w:rPr>
        <w:t>4,245 people benefitted directly from the 15 CSO projects supported by SIIMS.</w:t>
      </w:r>
      <w:r w:rsidRPr="0034148C">
        <w:t xml:space="preserve"> This is substantially more that the 3,000 beneficiaries stipulated as an indicators of the success of this component in the SIIMS logical framework.</w:t>
      </w:r>
    </w:p>
    <w:p w:rsidR="00EC25D0" w:rsidRPr="0034148C" w:rsidRDefault="007575F9" w:rsidP="007575F9">
      <w:pPr>
        <w:pStyle w:val="Heading2"/>
      </w:pPr>
      <w:bookmarkStart w:id="264" w:name="_Toc338717157"/>
      <w:bookmarkStart w:id="265" w:name="_Toc338750189"/>
      <w:bookmarkStart w:id="266" w:name="_Toc339368782"/>
      <w:r w:rsidRPr="0034148C">
        <w:t>6.2 Effectiveness of the program in promoting IDP integration</w:t>
      </w:r>
      <w:bookmarkEnd w:id="264"/>
      <w:bookmarkEnd w:id="265"/>
      <w:bookmarkEnd w:id="266"/>
    </w:p>
    <w:p w:rsidR="007575F9" w:rsidRPr="0034148C" w:rsidRDefault="0092453D" w:rsidP="004E48FF">
      <w:proofErr w:type="gramStart"/>
      <w:r w:rsidRPr="0034148C">
        <w:t>T</w:t>
      </w:r>
      <w:r w:rsidR="007575F9" w:rsidRPr="0034148C">
        <w:t xml:space="preserve">he SIIMS project logical framework makes it clear that </w:t>
      </w:r>
      <w:r w:rsidRPr="0034148C">
        <w:t xml:space="preserve">the project’s </w:t>
      </w:r>
      <w:r w:rsidR="007575F9" w:rsidRPr="0034148C">
        <w:t>internal “working definition” of integration includes elements</w:t>
      </w:r>
      <w:r w:rsidRPr="0034148C">
        <w:t xml:space="preserve"> such as b</w:t>
      </w:r>
      <w:r w:rsidR="007575F9" w:rsidRPr="0034148C">
        <w:t>uilding relationships between IDPs and people in the host community, including fostering positiv</w:t>
      </w:r>
      <w:r w:rsidRPr="0034148C">
        <w:t>e attitudes towards one another; p</w:t>
      </w:r>
      <w:r w:rsidR="007575F9" w:rsidRPr="0034148C">
        <w:t>roviding IDPs with a livelihood and connecting them to employment opportunities in their new environment</w:t>
      </w:r>
      <w:r w:rsidRPr="0034148C">
        <w:t>; e</w:t>
      </w:r>
      <w:r w:rsidR="007575F9" w:rsidRPr="0034148C">
        <w:t>nabling IDPs to exercise their rights and access government services in their area of settlement</w:t>
      </w:r>
      <w:r w:rsidRPr="0034148C">
        <w:t>; and c</w:t>
      </w:r>
      <w:r w:rsidR="007575F9" w:rsidRPr="0034148C">
        <w:t>onnecting IDPs with local authorities and mobilizing them to engage in community life and to find durable solutions to their displacement.</w:t>
      </w:r>
      <w:proofErr w:type="gramEnd"/>
      <w:r w:rsidRPr="0034148C">
        <w:t xml:space="preserve"> </w:t>
      </w:r>
      <w:r w:rsidR="007575F9" w:rsidRPr="0034148C">
        <w:t xml:space="preserve">When assessing the sample projects, therefore, consideration </w:t>
      </w:r>
      <w:proofErr w:type="gramStart"/>
      <w:r w:rsidR="004E48FF" w:rsidRPr="0034148C">
        <w:t xml:space="preserve">was </w:t>
      </w:r>
      <w:r w:rsidR="007575F9" w:rsidRPr="0034148C">
        <w:t>given</w:t>
      </w:r>
      <w:proofErr w:type="gramEnd"/>
      <w:r w:rsidR="007575F9" w:rsidRPr="0034148C">
        <w:t xml:space="preserve"> to </w:t>
      </w:r>
      <w:r w:rsidR="004E48FF" w:rsidRPr="0034148C">
        <w:t xml:space="preserve">how </w:t>
      </w:r>
      <w:r w:rsidR="007575F9" w:rsidRPr="0034148C">
        <w:t>they helped IDPs in the</w:t>
      </w:r>
      <w:r w:rsidR="004E48FF" w:rsidRPr="0034148C">
        <w:t>se</w:t>
      </w:r>
      <w:r w:rsidR="007575F9" w:rsidRPr="0034148C">
        <w:t xml:space="preserve"> directions. </w:t>
      </w:r>
      <w:r w:rsidR="004E48FF" w:rsidRPr="0034148C">
        <w:t xml:space="preserve">As outlined in the Methods section, </w:t>
      </w:r>
      <w:r w:rsidR="00D91B10" w:rsidRPr="0034148C">
        <w:t xml:space="preserve">a sample of nine of the projects </w:t>
      </w:r>
      <w:proofErr w:type="gramStart"/>
      <w:r w:rsidR="00D91B10" w:rsidRPr="0034148C">
        <w:t>was</w:t>
      </w:r>
      <w:r w:rsidR="004E48FF" w:rsidRPr="0034148C">
        <w:t xml:space="preserve"> evaluated</w:t>
      </w:r>
      <w:proofErr w:type="gramEnd"/>
      <w:r w:rsidR="004E48FF" w:rsidRPr="0034148C">
        <w:t xml:space="preserve"> using document </w:t>
      </w:r>
      <w:r w:rsidR="00D91B10" w:rsidRPr="0034148C">
        <w:t>review and</w:t>
      </w:r>
      <w:r w:rsidR="004E48FF" w:rsidRPr="0034148C">
        <w:t xml:space="preserve"> focus group discussions. Round </w:t>
      </w:r>
      <w:proofErr w:type="gramStart"/>
      <w:r w:rsidR="004E48FF" w:rsidRPr="0034148C">
        <w:t>2</w:t>
      </w:r>
      <w:proofErr w:type="gramEnd"/>
      <w:r w:rsidR="004E48FF" w:rsidRPr="0034148C">
        <w:t xml:space="preserve"> projects were also assessed on a scale of 1-12 as to their work on advocacy. </w:t>
      </w:r>
      <w:r w:rsidR="006878F8" w:rsidRPr="0034148C">
        <w:t xml:space="preserve">The tool yields a maximum score of 12. </w:t>
      </w:r>
      <w:proofErr w:type="gramStart"/>
      <w:r w:rsidR="006878F8" w:rsidRPr="0034148C">
        <w:t>A total score from 1-4 means that the advocacy work is of a low standard.</w:t>
      </w:r>
      <w:proofErr w:type="gramEnd"/>
      <w:r w:rsidR="006878F8" w:rsidRPr="0034148C">
        <w:t xml:space="preserve"> A total score of 5-8 means that the advocacy work is of an acceptable standard. </w:t>
      </w:r>
      <w:proofErr w:type="gramStart"/>
      <w:r w:rsidR="006878F8" w:rsidRPr="0034148C">
        <w:t>A total score from 9-12 means that the advocacy work is of a high standard.</w:t>
      </w:r>
      <w:proofErr w:type="gramEnd"/>
      <w:r w:rsidR="006878F8" w:rsidRPr="0034148C">
        <w:t xml:space="preserve"> </w:t>
      </w:r>
      <w:r w:rsidR="004E48FF" w:rsidRPr="0034148C">
        <w:t xml:space="preserve">The results of the assessment </w:t>
      </w:r>
      <w:proofErr w:type="gramStart"/>
      <w:r w:rsidR="004E48FF" w:rsidRPr="0034148C">
        <w:t>are shown</w:t>
      </w:r>
      <w:proofErr w:type="gramEnd"/>
      <w:r w:rsidR="004E48FF" w:rsidRPr="0034148C">
        <w:t xml:space="preserve"> in Table 6.1.</w:t>
      </w:r>
    </w:p>
    <w:p w:rsidR="00686D92" w:rsidRPr="0034148C" w:rsidRDefault="00686D92" w:rsidP="004E48FF">
      <w:pPr>
        <w:sectPr w:rsidR="00686D92" w:rsidRPr="0034148C" w:rsidSect="0070662F">
          <w:footerReference w:type="default" r:id="rId25"/>
          <w:pgSz w:w="12240" w:h="15840"/>
          <w:pgMar w:top="1440" w:right="1440" w:bottom="1440" w:left="1440" w:header="720" w:footer="432" w:gutter="0"/>
          <w:pgNumType w:start="1"/>
          <w:cols w:space="720"/>
          <w:docGrid w:linePitch="360"/>
        </w:sectPr>
      </w:pPr>
    </w:p>
    <w:p w:rsidR="004E48FF" w:rsidRPr="0034148C" w:rsidRDefault="004E48FF" w:rsidP="004E48FF">
      <w:pPr>
        <w:pStyle w:val="Heading4"/>
      </w:pPr>
      <w:bookmarkStart w:id="267" w:name="_Toc338717202"/>
      <w:bookmarkStart w:id="268" w:name="_Toc338750274"/>
      <w:bookmarkStart w:id="269" w:name="_Toc339368885"/>
      <w:r w:rsidRPr="0034148C">
        <w:lastRenderedPageBreak/>
        <w:t xml:space="preserve">Table 6.1: Assessment of </w:t>
      </w:r>
      <w:r w:rsidR="00686D92" w:rsidRPr="0034148C">
        <w:t>effectiveness of a sample of CSO organizations in promoting integration and advocacy</w:t>
      </w:r>
      <w:bookmarkEnd w:id="267"/>
      <w:bookmarkEnd w:id="268"/>
      <w:bookmarkEnd w:id="269"/>
    </w:p>
    <w:tbl>
      <w:tblPr>
        <w:tblStyle w:val="TableGrid"/>
        <w:tblW w:w="9558" w:type="dxa"/>
        <w:tblLook w:val="04A0"/>
      </w:tblPr>
      <w:tblGrid>
        <w:gridCol w:w="1908"/>
        <w:gridCol w:w="6210"/>
        <w:gridCol w:w="1440"/>
      </w:tblGrid>
      <w:tr w:rsidR="00686D92" w:rsidRPr="0034148C" w:rsidTr="003D3F0C">
        <w:trPr>
          <w:cantSplit/>
          <w:tblHeader/>
        </w:trPr>
        <w:tc>
          <w:tcPr>
            <w:tcW w:w="1908" w:type="dxa"/>
          </w:tcPr>
          <w:p w:rsidR="00686D92" w:rsidRPr="0034148C" w:rsidRDefault="00686D92" w:rsidP="00190F2A">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Name of organization and project</w:t>
            </w:r>
          </w:p>
        </w:tc>
        <w:tc>
          <w:tcPr>
            <w:tcW w:w="6210" w:type="dxa"/>
          </w:tcPr>
          <w:p w:rsidR="00686D92" w:rsidRPr="0034148C" w:rsidRDefault="00686D92" w:rsidP="00190F2A">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Integration assessment</w:t>
            </w:r>
          </w:p>
        </w:tc>
        <w:tc>
          <w:tcPr>
            <w:tcW w:w="1440" w:type="dxa"/>
          </w:tcPr>
          <w:p w:rsidR="00686D92" w:rsidRPr="0034148C" w:rsidRDefault="00686D92" w:rsidP="00190F2A">
            <w:pPr>
              <w:spacing w:after="0"/>
              <w:jc w:val="center"/>
              <w:rPr>
                <w:rFonts w:asciiTheme="minorHAnsi" w:hAnsiTheme="minorHAnsi" w:cstheme="minorHAnsi"/>
                <w:b/>
                <w:bCs/>
                <w:sz w:val="20"/>
                <w:szCs w:val="20"/>
              </w:rPr>
            </w:pPr>
            <w:r w:rsidRPr="0034148C">
              <w:rPr>
                <w:rFonts w:asciiTheme="minorHAnsi" w:hAnsiTheme="minorHAnsi" w:cstheme="minorHAnsi"/>
                <w:b/>
                <w:bCs/>
                <w:sz w:val="20"/>
                <w:szCs w:val="20"/>
              </w:rPr>
              <w:t>Advocacy score</w:t>
            </w:r>
            <w:r w:rsidR="002E1C83" w:rsidRPr="0034148C">
              <w:rPr>
                <w:rFonts w:asciiTheme="minorHAnsi" w:hAnsiTheme="minorHAnsi" w:cstheme="minorHAnsi"/>
                <w:b/>
                <w:bCs/>
                <w:sz w:val="20"/>
                <w:szCs w:val="20"/>
              </w:rPr>
              <w:t xml:space="preserve"> (Round 2 only)</w:t>
            </w:r>
          </w:p>
        </w:tc>
      </w:tr>
      <w:tr w:rsidR="00686D92" w:rsidRPr="0034148C" w:rsidTr="003D3F0C">
        <w:trPr>
          <w:cantSplit/>
        </w:trPr>
        <w:tc>
          <w:tcPr>
            <w:tcW w:w="1908" w:type="dxa"/>
          </w:tcPr>
          <w:p w:rsidR="00686D92" w:rsidRPr="0034148C" w:rsidRDefault="00686D92" w:rsidP="00190F2A">
            <w:pPr>
              <w:spacing w:after="0"/>
              <w:jc w:val="left"/>
              <w:rPr>
                <w:rFonts w:asciiTheme="minorHAnsi" w:hAnsiTheme="minorHAnsi" w:cstheme="minorHAnsi"/>
                <w:bCs/>
                <w:sz w:val="20"/>
                <w:szCs w:val="20"/>
              </w:rPr>
            </w:pPr>
            <w:r w:rsidRPr="0034148C">
              <w:rPr>
                <w:rFonts w:asciiTheme="minorHAnsi" w:hAnsiTheme="minorHAnsi" w:cstheme="minorHAnsi"/>
                <w:bCs/>
                <w:sz w:val="20"/>
                <w:szCs w:val="20"/>
              </w:rPr>
              <w:t>Society Biliki: Let’s Help Each Other</w:t>
            </w:r>
          </w:p>
          <w:p w:rsidR="00686D92" w:rsidRPr="0034148C" w:rsidRDefault="00686D92" w:rsidP="00190F2A">
            <w:pPr>
              <w:spacing w:after="0"/>
              <w:rPr>
                <w:rFonts w:asciiTheme="minorHAnsi" w:hAnsiTheme="minorHAnsi" w:cstheme="minorHAnsi"/>
                <w:bCs/>
                <w:sz w:val="20"/>
                <w:szCs w:val="20"/>
              </w:rPr>
            </w:pPr>
          </w:p>
        </w:tc>
        <w:tc>
          <w:tcPr>
            <w:tcW w:w="6210" w:type="dxa"/>
          </w:tcPr>
          <w:p w:rsidR="00686D92" w:rsidRPr="0034148C" w:rsidRDefault="00686D92" w:rsidP="00190F2A">
            <w:pPr>
              <w:spacing w:after="0"/>
              <w:rPr>
                <w:rFonts w:asciiTheme="minorHAnsi" w:hAnsiTheme="minorHAnsi" w:cstheme="minorHAnsi"/>
                <w:sz w:val="20"/>
                <w:szCs w:val="20"/>
              </w:rPr>
            </w:pPr>
            <w:r w:rsidRPr="0034148C">
              <w:rPr>
                <w:rFonts w:asciiTheme="minorHAnsi" w:hAnsiTheme="minorHAnsi" w:cstheme="minorHAnsi"/>
                <w:sz w:val="20"/>
                <w:szCs w:val="20"/>
              </w:rPr>
              <w:t>The clubs, activities and excursion were instrumental in transforming the relationships between IDP and local community children. They provided beneficiaries with “something to do”, thereby providing them with a distraction from bad thoughts. The activities fostered new friendships and helped the IDP children become more open and able to express themselves in less aggressive ways. FGD participants report</w:t>
            </w:r>
            <w:r w:rsidR="00A25181" w:rsidRPr="0034148C">
              <w:rPr>
                <w:rFonts w:asciiTheme="minorHAnsi" w:hAnsiTheme="minorHAnsi" w:cstheme="minorHAnsi"/>
                <w:sz w:val="20"/>
                <w:szCs w:val="20"/>
              </w:rPr>
              <w:t>ed</w:t>
            </w:r>
            <w:r w:rsidRPr="0034148C">
              <w:rPr>
                <w:rFonts w:asciiTheme="minorHAnsi" w:hAnsiTheme="minorHAnsi" w:cstheme="minorHAnsi"/>
                <w:sz w:val="20"/>
                <w:szCs w:val="20"/>
              </w:rPr>
              <w:t xml:space="preserve"> that as a result, there is no longer any harassment of IDP students </w:t>
            </w:r>
            <w:proofErr w:type="gramStart"/>
            <w:r w:rsidRPr="0034148C">
              <w:rPr>
                <w:rFonts w:asciiTheme="minorHAnsi" w:hAnsiTheme="minorHAnsi" w:cstheme="minorHAnsi"/>
                <w:sz w:val="20"/>
                <w:szCs w:val="20"/>
              </w:rPr>
              <w:t>on the basis of</w:t>
            </w:r>
            <w:proofErr w:type="gramEnd"/>
            <w:r w:rsidRPr="0034148C">
              <w:rPr>
                <w:rFonts w:asciiTheme="minorHAnsi" w:hAnsiTheme="minorHAnsi" w:cstheme="minorHAnsi"/>
                <w:sz w:val="20"/>
                <w:szCs w:val="20"/>
              </w:rPr>
              <w:t xml:space="preserve"> their IDP status.</w:t>
            </w:r>
          </w:p>
        </w:tc>
        <w:tc>
          <w:tcPr>
            <w:tcW w:w="1440" w:type="dxa"/>
          </w:tcPr>
          <w:p w:rsidR="00686D92" w:rsidRPr="0034148C" w:rsidRDefault="002E1C83" w:rsidP="00190F2A">
            <w:pPr>
              <w:spacing w:after="0"/>
              <w:rPr>
                <w:rFonts w:asciiTheme="minorHAnsi" w:hAnsiTheme="minorHAnsi" w:cstheme="minorHAnsi"/>
                <w:sz w:val="20"/>
                <w:szCs w:val="20"/>
              </w:rPr>
            </w:pPr>
            <w:r w:rsidRPr="0034148C">
              <w:rPr>
                <w:rFonts w:asciiTheme="minorHAnsi" w:hAnsiTheme="minorHAnsi" w:cstheme="minorHAnsi"/>
                <w:sz w:val="20"/>
                <w:szCs w:val="20"/>
              </w:rPr>
              <w:t>NA</w:t>
            </w:r>
          </w:p>
        </w:tc>
      </w:tr>
      <w:tr w:rsidR="00686D92" w:rsidRPr="0034148C" w:rsidTr="003D3F0C">
        <w:trPr>
          <w:cantSplit/>
        </w:trPr>
        <w:tc>
          <w:tcPr>
            <w:tcW w:w="1908" w:type="dxa"/>
          </w:tcPr>
          <w:p w:rsidR="00686D92" w:rsidRPr="0034148C" w:rsidRDefault="002E1C83" w:rsidP="00190F2A">
            <w:pPr>
              <w:spacing w:after="0"/>
              <w:jc w:val="left"/>
              <w:rPr>
                <w:rFonts w:asciiTheme="minorHAnsi" w:hAnsiTheme="minorHAnsi" w:cstheme="minorHAnsi"/>
                <w:bCs/>
                <w:sz w:val="20"/>
                <w:szCs w:val="20"/>
              </w:rPr>
            </w:pPr>
            <w:r w:rsidRPr="0034148C">
              <w:rPr>
                <w:rFonts w:asciiTheme="minorHAnsi" w:hAnsiTheme="minorHAnsi" w:cstheme="minorHAnsi"/>
                <w:bCs/>
                <w:sz w:val="20"/>
                <w:szCs w:val="20"/>
              </w:rPr>
              <w:t>Friendship Bridge Kartlosi:</w:t>
            </w:r>
            <w:r w:rsidRPr="0034148C">
              <w:rPr>
                <w:rFonts w:asciiTheme="minorHAnsi" w:hAnsiTheme="minorHAnsi" w:cstheme="minorHAnsi"/>
                <w:bCs/>
                <w:color w:val="365F91"/>
                <w:sz w:val="20"/>
                <w:szCs w:val="20"/>
              </w:rPr>
              <w:t xml:space="preserve"> </w:t>
            </w:r>
            <w:r w:rsidRPr="0034148C">
              <w:rPr>
                <w:rFonts w:asciiTheme="minorHAnsi" w:hAnsiTheme="minorHAnsi" w:cstheme="minorHAnsi"/>
                <w:bCs/>
                <w:sz w:val="20"/>
                <w:szCs w:val="20"/>
              </w:rPr>
              <w:t>Youth from Shida Kartli for Peaceful Living Together</w:t>
            </w:r>
          </w:p>
        </w:tc>
        <w:tc>
          <w:tcPr>
            <w:tcW w:w="6210" w:type="dxa"/>
          </w:tcPr>
          <w:p w:rsidR="002E1C83" w:rsidRPr="0034148C" w:rsidRDefault="002E1C83" w:rsidP="00190F2A">
            <w:pPr>
              <w:spacing w:after="0"/>
              <w:rPr>
                <w:rFonts w:asciiTheme="minorHAnsi" w:hAnsiTheme="minorHAnsi" w:cstheme="minorHAnsi"/>
                <w:sz w:val="20"/>
                <w:szCs w:val="20"/>
              </w:rPr>
            </w:pPr>
            <w:r w:rsidRPr="0034148C">
              <w:rPr>
                <w:rFonts w:asciiTheme="minorHAnsi" w:hAnsiTheme="minorHAnsi" w:cstheme="minorHAnsi"/>
                <w:sz w:val="20"/>
                <w:szCs w:val="20"/>
              </w:rPr>
              <w:t xml:space="preserve">Events helped beneficiaries to get to know more people both between the IDP settlements and the local villages, </w:t>
            </w:r>
            <w:proofErr w:type="gramStart"/>
            <w:r w:rsidRPr="0034148C">
              <w:rPr>
                <w:rFonts w:asciiTheme="minorHAnsi" w:hAnsiTheme="minorHAnsi" w:cstheme="minorHAnsi"/>
                <w:sz w:val="20"/>
                <w:szCs w:val="20"/>
              </w:rPr>
              <w:t>and also</w:t>
            </w:r>
            <w:proofErr w:type="gramEnd"/>
            <w:r w:rsidRPr="0034148C">
              <w:rPr>
                <w:rFonts w:asciiTheme="minorHAnsi" w:hAnsiTheme="minorHAnsi" w:cstheme="minorHAnsi"/>
                <w:sz w:val="20"/>
                <w:szCs w:val="20"/>
              </w:rPr>
              <w:t xml:space="preserve"> within the IDP settlements where residents come from different villages.</w:t>
            </w:r>
          </w:p>
          <w:p w:rsidR="002E1C83" w:rsidRPr="0034148C" w:rsidRDefault="002E1C83" w:rsidP="00190F2A">
            <w:pPr>
              <w:spacing w:after="0"/>
              <w:rPr>
                <w:rFonts w:asciiTheme="minorHAnsi" w:hAnsiTheme="minorHAnsi" w:cstheme="minorHAnsi"/>
                <w:sz w:val="20"/>
                <w:szCs w:val="20"/>
              </w:rPr>
            </w:pPr>
            <w:r w:rsidRPr="0034148C">
              <w:rPr>
                <w:rFonts w:asciiTheme="minorHAnsi" w:hAnsiTheme="minorHAnsi" w:cstheme="minorHAnsi"/>
                <w:sz w:val="20"/>
                <w:szCs w:val="20"/>
              </w:rPr>
              <w:t>- The project director reported that 40% of the people who use the information centre are IDPs. However, none of the FGD members had used the information centre service</w:t>
            </w:r>
            <w:r w:rsidR="00A25181" w:rsidRPr="0034148C">
              <w:rPr>
                <w:rFonts w:asciiTheme="minorHAnsi" w:hAnsiTheme="minorHAnsi" w:cstheme="minorHAnsi"/>
                <w:sz w:val="20"/>
                <w:szCs w:val="20"/>
              </w:rPr>
              <w:t>s</w:t>
            </w:r>
            <w:r w:rsidRPr="0034148C">
              <w:rPr>
                <w:rFonts w:asciiTheme="minorHAnsi" w:hAnsiTheme="minorHAnsi" w:cstheme="minorHAnsi"/>
                <w:sz w:val="20"/>
                <w:szCs w:val="20"/>
              </w:rPr>
              <w:t xml:space="preserve"> or the Facebook blog that was established (few families have internet at home)</w:t>
            </w:r>
          </w:p>
          <w:p w:rsidR="00686D92" w:rsidRPr="0034148C" w:rsidRDefault="002E1C83" w:rsidP="00190F2A">
            <w:pPr>
              <w:spacing w:after="0"/>
              <w:rPr>
                <w:rFonts w:asciiTheme="minorHAnsi" w:hAnsiTheme="minorHAnsi" w:cstheme="minorHAnsi"/>
                <w:sz w:val="20"/>
                <w:szCs w:val="20"/>
              </w:rPr>
            </w:pPr>
            <w:r w:rsidRPr="0034148C">
              <w:rPr>
                <w:rFonts w:asciiTheme="minorHAnsi" w:hAnsiTheme="minorHAnsi" w:cstheme="minorHAnsi"/>
                <w:sz w:val="20"/>
                <w:szCs w:val="20"/>
              </w:rPr>
              <w:t>- None of the FGD participants had participated in the youth forum conference, so it is not clear what impact this conference had.</w:t>
            </w:r>
          </w:p>
        </w:tc>
        <w:tc>
          <w:tcPr>
            <w:tcW w:w="1440" w:type="dxa"/>
          </w:tcPr>
          <w:p w:rsidR="00686D92" w:rsidRPr="0034148C" w:rsidRDefault="002E1C83" w:rsidP="00190F2A">
            <w:pPr>
              <w:spacing w:after="0"/>
              <w:rPr>
                <w:rFonts w:asciiTheme="minorHAnsi" w:hAnsiTheme="minorHAnsi" w:cstheme="minorHAnsi"/>
                <w:sz w:val="20"/>
                <w:szCs w:val="20"/>
              </w:rPr>
            </w:pPr>
            <w:r w:rsidRPr="0034148C">
              <w:rPr>
                <w:rFonts w:asciiTheme="minorHAnsi" w:hAnsiTheme="minorHAnsi" w:cstheme="minorHAnsi"/>
                <w:sz w:val="20"/>
                <w:szCs w:val="20"/>
              </w:rPr>
              <w:t>NA</w:t>
            </w:r>
          </w:p>
        </w:tc>
      </w:tr>
      <w:tr w:rsidR="00686D92" w:rsidRPr="0034148C" w:rsidTr="003D3F0C">
        <w:trPr>
          <w:cantSplit/>
        </w:trPr>
        <w:tc>
          <w:tcPr>
            <w:tcW w:w="1908" w:type="dxa"/>
          </w:tcPr>
          <w:p w:rsidR="002E1C83" w:rsidRPr="0034148C" w:rsidRDefault="002E1C83" w:rsidP="00190F2A">
            <w:pPr>
              <w:spacing w:after="0"/>
              <w:jc w:val="left"/>
              <w:rPr>
                <w:rFonts w:asciiTheme="minorHAnsi" w:hAnsiTheme="minorHAnsi" w:cstheme="minorHAnsi"/>
                <w:bCs/>
                <w:sz w:val="20"/>
                <w:szCs w:val="20"/>
              </w:rPr>
            </w:pPr>
            <w:r w:rsidRPr="0034148C">
              <w:rPr>
                <w:rFonts w:asciiTheme="minorHAnsi" w:hAnsiTheme="minorHAnsi" w:cstheme="minorHAnsi"/>
                <w:bCs/>
                <w:sz w:val="20"/>
                <w:szCs w:val="20"/>
              </w:rPr>
              <w:t>SIQA – Georgian Association of Educative Initiatives</w:t>
            </w:r>
            <w:r w:rsidR="00190F2A" w:rsidRPr="0034148C">
              <w:rPr>
                <w:rFonts w:asciiTheme="minorHAnsi" w:hAnsiTheme="minorHAnsi" w:cstheme="minorHAnsi"/>
                <w:bCs/>
                <w:sz w:val="20"/>
                <w:szCs w:val="20"/>
              </w:rPr>
              <w:t>:</w:t>
            </w:r>
            <w:r w:rsidRPr="0034148C">
              <w:rPr>
                <w:rFonts w:asciiTheme="minorHAnsi" w:hAnsiTheme="minorHAnsi" w:cstheme="minorHAnsi"/>
                <w:bCs/>
                <w:color w:val="336699"/>
                <w:sz w:val="20"/>
                <w:szCs w:val="20"/>
              </w:rPr>
              <w:t xml:space="preserve">            </w:t>
            </w:r>
            <w:r w:rsidRPr="0034148C">
              <w:rPr>
                <w:rFonts w:asciiTheme="minorHAnsi" w:hAnsiTheme="minorHAnsi" w:cstheme="minorHAnsi"/>
                <w:bCs/>
                <w:sz w:val="20"/>
                <w:szCs w:val="20"/>
              </w:rPr>
              <w:t>Together in Common Reality</w:t>
            </w:r>
          </w:p>
          <w:p w:rsidR="00686D92" w:rsidRPr="0034148C" w:rsidRDefault="00686D92" w:rsidP="00190F2A">
            <w:pPr>
              <w:spacing w:after="0"/>
              <w:jc w:val="left"/>
              <w:rPr>
                <w:rFonts w:asciiTheme="minorHAnsi" w:hAnsiTheme="minorHAnsi" w:cstheme="minorHAnsi"/>
                <w:bCs/>
                <w:sz w:val="20"/>
                <w:szCs w:val="20"/>
              </w:rPr>
            </w:pPr>
          </w:p>
        </w:tc>
        <w:tc>
          <w:tcPr>
            <w:tcW w:w="6210" w:type="dxa"/>
          </w:tcPr>
          <w:p w:rsidR="002E1C83" w:rsidRPr="0034148C" w:rsidRDefault="002E1C83" w:rsidP="00190F2A">
            <w:pPr>
              <w:spacing w:after="0"/>
              <w:rPr>
                <w:rFonts w:asciiTheme="minorHAnsi" w:hAnsiTheme="minorHAnsi" w:cstheme="minorHAnsi"/>
                <w:sz w:val="20"/>
                <w:szCs w:val="20"/>
              </w:rPr>
            </w:pPr>
            <w:r w:rsidRPr="0034148C">
              <w:rPr>
                <w:rFonts w:asciiTheme="minorHAnsi" w:hAnsiTheme="minorHAnsi" w:cstheme="minorHAnsi"/>
                <w:sz w:val="20"/>
                <w:szCs w:val="20"/>
              </w:rPr>
              <w:t>FGD members reported that the various project activities helped them make friends and meet new people.  They also report that conflicts in the school environment have reduced.</w:t>
            </w:r>
          </w:p>
          <w:p w:rsidR="00686D92" w:rsidRPr="0034148C" w:rsidRDefault="002E1C83" w:rsidP="00A25181">
            <w:pPr>
              <w:spacing w:after="0"/>
              <w:rPr>
                <w:rFonts w:asciiTheme="minorHAnsi" w:hAnsiTheme="minorHAnsi" w:cstheme="minorHAnsi"/>
                <w:sz w:val="20"/>
                <w:szCs w:val="20"/>
              </w:rPr>
            </w:pPr>
            <w:r w:rsidRPr="0034148C">
              <w:rPr>
                <w:rFonts w:asciiTheme="minorHAnsi" w:hAnsiTheme="minorHAnsi" w:cstheme="minorHAnsi"/>
                <w:sz w:val="20"/>
                <w:szCs w:val="20"/>
              </w:rPr>
              <w:t>- The project also attempted to connect IDPs in general to services and government structures around them through the calendars and town-hall meetings, which provided important information to IDPs about their rights and where to access services and information.</w:t>
            </w:r>
          </w:p>
        </w:tc>
        <w:tc>
          <w:tcPr>
            <w:tcW w:w="1440" w:type="dxa"/>
          </w:tcPr>
          <w:p w:rsidR="00686D92" w:rsidRPr="0034148C" w:rsidRDefault="002E1C83" w:rsidP="00190F2A">
            <w:pPr>
              <w:spacing w:after="0"/>
              <w:rPr>
                <w:rFonts w:asciiTheme="minorHAnsi" w:hAnsiTheme="minorHAnsi" w:cstheme="minorHAnsi"/>
                <w:sz w:val="20"/>
                <w:szCs w:val="20"/>
              </w:rPr>
            </w:pPr>
            <w:r w:rsidRPr="0034148C">
              <w:rPr>
                <w:rFonts w:asciiTheme="minorHAnsi" w:hAnsiTheme="minorHAnsi" w:cstheme="minorHAnsi"/>
                <w:sz w:val="20"/>
                <w:szCs w:val="20"/>
              </w:rPr>
              <w:t>NA</w:t>
            </w:r>
          </w:p>
        </w:tc>
      </w:tr>
      <w:tr w:rsidR="00686D92" w:rsidRPr="0034148C" w:rsidTr="003D3F0C">
        <w:trPr>
          <w:cantSplit/>
        </w:trPr>
        <w:tc>
          <w:tcPr>
            <w:tcW w:w="1908" w:type="dxa"/>
          </w:tcPr>
          <w:p w:rsidR="00686D92" w:rsidRPr="0034148C" w:rsidRDefault="00BD601A" w:rsidP="00190F2A">
            <w:pPr>
              <w:spacing w:after="0"/>
              <w:jc w:val="left"/>
              <w:rPr>
                <w:rFonts w:asciiTheme="minorHAnsi" w:hAnsiTheme="minorHAnsi" w:cstheme="minorHAnsi"/>
                <w:bCs/>
                <w:sz w:val="20"/>
                <w:szCs w:val="20"/>
              </w:rPr>
            </w:pPr>
            <w:r w:rsidRPr="0034148C">
              <w:rPr>
                <w:rFonts w:asciiTheme="minorHAnsi" w:hAnsiTheme="minorHAnsi" w:cstheme="minorHAnsi"/>
                <w:bCs/>
                <w:sz w:val="20"/>
                <w:szCs w:val="20"/>
              </w:rPr>
              <w:t>Institute of Regional Development – Shida Kartli</w:t>
            </w:r>
            <w:r w:rsidR="00190F2A" w:rsidRPr="0034148C">
              <w:rPr>
                <w:rFonts w:asciiTheme="minorHAnsi" w:hAnsiTheme="minorHAnsi" w:cstheme="minorHAnsi"/>
                <w:bCs/>
                <w:sz w:val="20"/>
                <w:szCs w:val="20"/>
              </w:rPr>
              <w:t>:</w:t>
            </w:r>
            <w:r w:rsidRPr="0034148C">
              <w:rPr>
                <w:rFonts w:asciiTheme="minorHAnsi" w:hAnsiTheme="minorHAnsi" w:cstheme="minorHAnsi"/>
                <w:bCs/>
                <w:color w:val="336699"/>
                <w:sz w:val="20"/>
                <w:szCs w:val="20"/>
              </w:rPr>
              <w:t xml:space="preserve">           </w:t>
            </w:r>
            <w:r w:rsidRPr="0034148C">
              <w:rPr>
                <w:rFonts w:asciiTheme="minorHAnsi" w:hAnsiTheme="minorHAnsi" w:cstheme="minorHAnsi"/>
                <w:bCs/>
                <w:sz w:val="20"/>
                <w:szCs w:val="20"/>
              </w:rPr>
              <w:t>Youth for Healthy Environmen</w:t>
            </w:r>
            <w:r w:rsidR="00A25181" w:rsidRPr="0034148C">
              <w:rPr>
                <w:rFonts w:asciiTheme="minorHAnsi" w:hAnsiTheme="minorHAnsi" w:cstheme="minorHAnsi"/>
                <w:bCs/>
                <w:sz w:val="20"/>
                <w:szCs w:val="20"/>
              </w:rPr>
              <w:t>t</w:t>
            </w:r>
          </w:p>
        </w:tc>
        <w:tc>
          <w:tcPr>
            <w:tcW w:w="6210" w:type="dxa"/>
          </w:tcPr>
          <w:p w:rsidR="00BD601A" w:rsidRPr="0034148C" w:rsidRDefault="00BD601A" w:rsidP="00190F2A">
            <w:pPr>
              <w:spacing w:after="0"/>
              <w:rPr>
                <w:rFonts w:asciiTheme="minorHAnsi" w:hAnsiTheme="minorHAnsi" w:cstheme="minorHAnsi"/>
                <w:sz w:val="20"/>
                <w:szCs w:val="20"/>
              </w:rPr>
            </w:pPr>
            <w:r w:rsidRPr="0034148C">
              <w:rPr>
                <w:rFonts w:asciiTheme="minorHAnsi" w:hAnsiTheme="minorHAnsi" w:cstheme="minorHAnsi"/>
                <w:sz w:val="20"/>
                <w:szCs w:val="20"/>
              </w:rPr>
              <w:t>Participants report</w:t>
            </w:r>
            <w:r w:rsidR="00A25181" w:rsidRPr="0034148C">
              <w:rPr>
                <w:rFonts w:asciiTheme="minorHAnsi" w:hAnsiTheme="minorHAnsi" w:cstheme="minorHAnsi"/>
                <w:sz w:val="20"/>
                <w:szCs w:val="20"/>
              </w:rPr>
              <w:t>ed</w:t>
            </w:r>
            <w:r w:rsidRPr="0034148C">
              <w:rPr>
                <w:rFonts w:asciiTheme="minorHAnsi" w:hAnsiTheme="minorHAnsi" w:cstheme="minorHAnsi"/>
                <w:sz w:val="20"/>
                <w:szCs w:val="20"/>
              </w:rPr>
              <w:t xml:space="preserve"> improved relationships between IDP children and local children (as evidenced by the fact that social groups are now more mixed)</w:t>
            </w:r>
          </w:p>
          <w:p w:rsidR="00686D92" w:rsidRPr="0034148C" w:rsidRDefault="00BD601A" w:rsidP="00190F2A">
            <w:pPr>
              <w:spacing w:after="0"/>
              <w:rPr>
                <w:rFonts w:asciiTheme="minorHAnsi" w:hAnsiTheme="minorHAnsi" w:cstheme="minorHAnsi"/>
                <w:sz w:val="20"/>
                <w:szCs w:val="20"/>
              </w:rPr>
            </w:pPr>
            <w:r w:rsidRPr="0034148C">
              <w:rPr>
                <w:rFonts w:asciiTheme="minorHAnsi" w:hAnsiTheme="minorHAnsi" w:cstheme="minorHAnsi"/>
                <w:sz w:val="20"/>
                <w:szCs w:val="20"/>
              </w:rPr>
              <w:t>- Participants report</w:t>
            </w:r>
            <w:r w:rsidR="00A25181" w:rsidRPr="0034148C">
              <w:rPr>
                <w:rFonts w:asciiTheme="minorHAnsi" w:hAnsiTheme="minorHAnsi" w:cstheme="minorHAnsi"/>
                <w:sz w:val="20"/>
                <w:szCs w:val="20"/>
              </w:rPr>
              <w:t>ed</w:t>
            </w:r>
            <w:r w:rsidRPr="0034148C">
              <w:rPr>
                <w:rFonts w:asciiTheme="minorHAnsi" w:hAnsiTheme="minorHAnsi" w:cstheme="minorHAnsi"/>
                <w:sz w:val="20"/>
                <w:szCs w:val="20"/>
              </w:rPr>
              <w:t xml:space="preserve"> some nascent behavioral changes in terms of environmental awareness (e.g. fewer chi</w:t>
            </w:r>
            <w:r w:rsidR="00A25181" w:rsidRPr="0034148C">
              <w:rPr>
                <w:rFonts w:asciiTheme="minorHAnsi" w:hAnsiTheme="minorHAnsi" w:cstheme="minorHAnsi"/>
                <w:sz w:val="20"/>
                <w:szCs w:val="20"/>
              </w:rPr>
              <w:t>ldren are littering).</w:t>
            </w:r>
          </w:p>
        </w:tc>
        <w:tc>
          <w:tcPr>
            <w:tcW w:w="1440" w:type="dxa"/>
          </w:tcPr>
          <w:p w:rsidR="00686D92" w:rsidRPr="0034148C" w:rsidRDefault="00BD601A" w:rsidP="00190F2A">
            <w:pPr>
              <w:spacing w:after="0"/>
              <w:rPr>
                <w:rFonts w:asciiTheme="minorHAnsi" w:hAnsiTheme="minorHAnsi" w:cstheme="minorHAnsi"/>
                <w:sz w:val="20"/>
                <w:szCs w:val="20"/>
              </w:rPr>
            </w:pPr>
            <w:r w:rsidRPr="0034148C">
              <w:rPr>
                <w:rFonts w:asciiTheme="minorHAnsi" w:hAnsiTheme="minorHAnsi" w:cstheme="minorHAnsi"/>
                <w:sz w:val="20"/>
                <w:szCs w:val="20"/>
              </w:rPr>
              <w:t>5</w:t>
            </w:r>
            <w:r w:rsidR="00190F2A" w:rsidRPr="0034148C">
              <w:rPr>
                <w:rFonts w:asciiTheme="minorHAnsi" w:hAnsiTheme="minorHAnsi" w:cstheme="minorHAnsi"/>
                <w:sz w:val="20"/>
                <w:szCs w:val="20"/>
              </w:rPr>
              <w:t xml:space="preserve"> (acceptable)</w:t>
            </w:r>
          </w:p>
        </w:tc>
      </w:tr>
      <w:tr w:rsidR="00686D92" w:rsidRPr="0034148C" w:rsidTr="003D3F0C">
        <w:trPr>
          <w:cantSplit/>
        </w:trPr>
        <w:tc>
          <w:tcPr>
            <w:tcW w:w="1908" w:type="dxa"/>
          </w:tcPr>
          <w:p w:rsidR="00BD601A" w:rsidRPr="0034148C" w:rsidRDefault="00BD601A" w:rsidP="00190F2A">
            <w:pPr>
              <w:spacing w:after="0"/>
              <w:jc w:val="left"/>
              <w:rPr>
                <w:rFonts w:asciiTheme="minorHAnsi" w:hAnsiTheme="minorHAnsi" w:cstheme="minorHAnsi"/>
                <w:bCs/>
                <w:color w:val="336699"/>
                <w:sz w:val="20"/>
                <w:szCs w:val="20"/>
              </w:rPr>
            </w:pPr>
            <w:r w:rsidRPr="0034148C">
              <w:rPr>
                <w:rFonts w:asciiTheme="minorHAnsi" w:hAnsiTheme="minorHAnsi" w:cstheme="minorHAnsi"/>
                <w:bCs/>
                <w:sz w:val="20"/>
                <w:szCs w:val="20"/>
              </w:rPr>
              <w:t>Shida Kartli Democratic Development Institute</w:t>
            </w:r>
            <w:r w:rsidR="00190F2A" w:rsidRPr="0034148C">
              <w:rPr>
                <w:rFonts w:asciiTheme="minorHAnsi" w:hAnsiTheme="minorHAnsi" w:cstheme="minorHAnsi"/>
                <w:bCs/>
                <w:sz w:val="20"/>
                <w:szCs w:val="20"/>
              </w:rPr>
              <w:t>:</w:t>
            </w:r>
            <w:r w:rsidRPr="0034148C">
              <w:rPr>
                <w:rFonts w:asciiTheme="minorHAnsi" w:hAnsiTheme="minorHAnsi" w:cstheme="minorHAnsi"/>
                <w:bCs/>
                <w:color w:val="336699"/>
                <w:sz w:val="20"/>
                <w:szCs w:val="20"/>
              </w:rPr>
              <w:t xml:space="preserve">            </w:t>
            </w:r>
            <w:r w:rsidRPr="0034148C">
              <w:rPr>
                <w:rFonts w:asciiTheme="minorHAnsi" w:hAnsiTheme="minorHAnsi" w:cstheme="minorHAnsi"/>
                <w:bCs/>
                <w:sz w:val="20"/>
                <w:szCs w:val="20"/>
              </w:rPr>
              <w:t>Problem Mapping</w:t>
            </w:r>
          </w:p>
          <w:p w:rsidR="00686D92" w:rsidRPr="0034148C" w:rsidRDefault="00686D92" w:rsidP="00190F2A">
            <w:pPr>
              <w:spacing w:after="0"/>
              <w:jc w:val="left"/>
              <w:rPr>
                <w:rFonts w:asciiTheme="minorHAnsi" w:hAnsiTheme="minorHAnsi" w:cstheme="minorHAnsi"/>
                <w:bCs/>
                <w:sz w:val="20"/>
                <w:szCs w:val="20"/>
              </w:rPr>
            </w:pPr>
          </w:p>
        </w:tc>
        <w:tc>
          <w:tcPr>
            <w:tcW w:w="6210" w:type="dxa"/>
          </w:tcPr>
          <w:p w:rsidR="00BD601A" w:rsidRPr="0034148C" w:rsidRDefault="00BD601A" w:rsidP="00190F2A">
            <w:pPr>
              <w:spacing w:after="0"/>
              <w:rPr>
                <w:rFonts w:asciiTheme="minorHAnsi" w:hAnsiTheme="minorHAnsi" w:cstheme="minorHAnsi"/>
                <w:sz w:val="20"/>
                <w:szCs w:val="20"/>
              </w:rPr>
            </w:pPr>
            <w:r w:rsidRPr="0034148C">
              <w:rPr>
                <w:rFonts w:asciiTheme="minorHAnsi" w:hAnsiTheme="minorHAnsi" w:cstheme="minorHAnsi"/>
                <w:sz w:val="20"/>
                <w:szCs w:val="20"/>
              </w:rPr>
              <w:t>This project did:</w:t>
            </w:r>
          </w:p>
          <w:p w:rsidR="00BD601A" w:rsidRPr="0034148C" w:rsidRDefault="00BD601A" w:rsidP="00190F2A">
            <w:pPr>
              <w:pStyle w:val="ListParagraph"/>
              <w:numPr>
                <w:ilvl w:val="0"/>
                <w:numId w:val="11"/>
              </w:numPr>
              <w:spacing w:after="0"/>
              <w:ind w:left="162" w:hanging="180"/>
              <w:rPr>
                <w:rFonts w:asciiTheme="minorHAnsi" w:hAnsiTheme="minorHAnsi" w:cstheme="minorHAnsi"/>
                <w:sz w:val="20"/>
                <w:szCs w:val="20"/>
              </w:rPr>
            </w:pPr>
            <w:r w:rsidRPr="0034148C">
              <w:rPr>
                <w:rFonts w:asciiTheme="minorHAnsi" w:hAnsiTheme="minorHAnsi" w:cstheme="minorHAnsi"/>
                <w:sz w:val="20"/>
                <w:szCs w:val="20"/>
              </w:rPr>
              <w:t>Enable IDPs to articulate their needs and problems</w:t>
            </w:r>
          </w:p>
          <w:p w:rsidR="00BD601A" w:rsidRPr="0034148C" w:rsidRDefault="00BD601A" w:rsidP="00190F2A">
            <w:pPr>
              <w:pStyle w:val="ListParagraph"/>
              <w:numPr>
                <w:ilvl w:val="0"/>
                <w:numId w:val="11"/>
              </w:numPr>
              <w:spacing w:after="0"/>
              <w:ind w:left="162" w:hanging="180"/>
              <w:rPr>
                <w:rFonts w:asciiTheme="minorHAnsi" w:hAnsiTheme="minorHAnsi" w:cstheme="minorHAnsi"/>
                <w:sz w:val="20"/>
                <w:szCs w:val="20"/>
              </w:rPr>
            </w:pPr>
            <w:r w:rsidRPr="0034148C">
              <w:rPr>
                <w:rFonts w:asciiTheme="minorHAnsi" w:hAnsiTheme="minorHAnsi" w:cstheme="minorHAnsi"/>
                <w:sz w:val="20"/>
                <w:szCs w:val="20"/>
              </w:rPr>
              <w:t>Build good working relationships between the government and IDP representatives through a series of meetings.</w:t>
            </w:r>
          </w:p>
          <w:p w:rsidR="00BD601A" w:rsidRPr="0034148C" w:rsidRDefault="00BD601A" w:rsidP="00190F2A">
            <w:pPr>
              <w:pStyle w:val="ListParagraph"/>
              <w:numPr>
                <w:ilvl w:val="0"/>
                <w:numId w:val="11"/>
              </w:numPr>
              <w:spacing w:after="0"/>
              <w:ind w:left="162" w:hanging="180"/>
              <w:rPr>
                <w:rFonts w:asciiTheme="minorHAnsi" w:hAnsiTheme="minorHAnsi" w:cstheme="minorHAnsi"/>
                <w:sz w:val="20"/>
                <w:szCs w:val="20"/>
              </w:rPr>
            </w:pPr>
            <w:r w:rsidRPr="0034148C">
              <w:rPr>
                <w:rFonts w:asciiTheme="minorHAnsi" w:hAnsiTheme="minorHAnsi" w:cstheme="minorHAnsi"/>
                <w:sz w:val="20"/>
                <w:szCs w:val="20"/>
              </w:rPr>
              <w:t>Mobilize the government to undertake a number of improvement works in IDP settlements (e.g. building bus-shelter, build irrigation channels, improve insulation in housing).</w:t>
            </w:r>
          </w:p>
          <w:p w:rsidR="00686D92" w:rsidRPr="0034148C" w:rsidRDefault="00BD601A" w:rsidP="00190F2A">
            <w:pPr>
              <w:pStyle w:val="ListParagraph"/>
              <w:numPr>
                <w:ilvl w:val="0"/>
                <w:numId w:val="11"/>
              </w:numPr>
              <w:spacing w:after="0"/>
              <w:ind w:left="162" w:hanging="180"/>
              <w:rPr>
                <w:rFonts w:asciiTheme="minorHAnsi" w:hAnsiTheme="minorHAnsi" w:cstheme="minorHAnsi"/>
                <w:sz w:val="20"/>
                <w:szCs w:val="20"/>
              </w:rPr>
            </w:pPr>
            <w:r w:rsidRPr="0034148C">
              <w:rPr>
                <w:rFonts w:asciiTheme="minorHAnsi" w:hAnsiTheme="minorHAnsi" w:cstheme="minorHAnsi"/>
                <w:sz w:val="20"/>
                <w:szCs w:val="20"/>
              </w:rPr>
              <w:t>In this regard, the project contributed to improving the local governmen</w:t>
            </w:r>
            <w:r w:rsidR="00A25181" w:rsidRPr="0034148C">
              <w:rPr>
                <w:rFonts w:asciiTheme="minorHAnsi" w:hAnsiTheme="minorHAnsi" w:cstheme="minorHAnsi"/>
                <w:sz w:val="20"/>
                <w:szCs w:val="20"/>
              </w:rPr>
              <w:t>t’s understanding of IDP needs.</w:t>
            </w:r>
          </w:p>
        </w:tc>
        <w:tc>
          <w:tcPr>
            <w:tcW w:w="1440" w:type="dxa"/>
          </w:tcPr>
          <w:p w:rsidR="00686D92" w:rsidRPr="0034148C" w:rsidRDefault="00BD601A" w:rsidP="00190F2A">
            <w:pPr>
              <w:spacing w:after="0"/>
              <w:rPr>
                <w:rFonts w:asciiTheme="minorHAnsi" w:hAnsiTheme="minorHAnsi" w:cstheme="minorHAnsi"/>
                <w:sz w:val="20"/>
                <w:szCs w:val="20"/>
              </w:rPr>
            </w:pPr>
            <w:r w:rsidRPr="0034148C">
              <w:rPr>
                <w:rFonts w:asciiTheme="minorHAnsi" w:hAnsiTheme="minorHAnsi" w:cstheme="minorHAnsi"/>
                <w:sz w:val="20"/>
                <w:szCs w:val="20"/>
              </w:rPr>
              <w:t>8</w:t>
            </w:r>
            <w:r w:rsidR="00BD269C" w:rsidRPr="0034148C">
              <w:rPr>
                <w:rFonts w:asciiTheme="minorHAnsi" w:hAnsiTheme="minorHAnsi" w:cstheme="minorHAnsi"/>
                <w:sz w:val="20"/>
                <w:szCs w:val="20"/>
              </w:rPr>
              <w:t xml:space="preserve"> (acceptable)</w:t>
            </w:r>
          </w:p>
        </w:tc>
      </w:tr>
      <w:tr w:rsidR="00686D92" w:rsidRPr="0034148C" w:rsidTr="003D3F0C">
        <w:trPr>
          <w:cantSplit/>
        </w:trPr>
        <w:tc>
          <w:tcPr>
            <w:tcW w:w="1908" w:type="dxa"/>
          </w:tcPr>
          <w:p w:rsidR="00BD601A" w:rsidRPr="0034148C" w:rsidRDefault="00BD601A" w:rsidP="00190F2A">
            <w:pPr>
              <w:spacing w:after="0"/>
              <w:jc w:val="left"/>
              <w:rPr>
                <w:rFonts w:asciiTheme="minorHAnsi" w:hAnsiTheme="minorHAnsi" w:cstheme="minorHAnsi"/>
                <w:bCs/>
                <w:color w:val="336699"/>
                <w:sz w:val="20"/>
                <w:szCs w:val="20"/>
              </w:rPr>
            </w:pPr>
            <w:r w:rsidRPr="0034148C">
              <w:rPr>
                <w:rFonts w:asciiTheme="minorHAnsi" w:hAnsiTheme="minorHAnsi" w:cstheme="minorHAnsi"/>
                <w:bCs/>
                <w:sz w:val="20"/>
                <w:szCs w:val="20"/>
              </w:rPr>
              <w:lastRenderedPageBreak/>
              <w:t>Association “Women and Development”</w:t>
            </w:r>
            <w:r w:rsidR="00BD269C" w:rsidRPr="0034148C">
              <w:rPr>
                <w:rFonts w:asciiTheme="minorHAnsi" w:hAnsiTheme="minorHAnsi" w:cstheme="minorHAnsi"/>
                <w:bCs/>
                <w:sz w:val="20"/>
                <w:szCs w:val="20"/>
              </w:rPr>
              <w:t>:</w:t>
            </w:r>
            <w:r w:rsidRPr="0034148C">
              <w:rPr>
                <w:rFonts w:asciiTheme="minorHAnsi" w:hAnsiTheme="minorHAnsi" w:cstheme="minorHAnsi"/>
                <w:bCs/>
                <w:color w:val="336699"/>
                <w:sz w:val="20"/>
                <w:szCs w:val="20"/>
              </w:rPr>
              <w:t xml:space="preserve">            </w:t>
            </w:r>
            <w:r w:rsidRPr="0034148C">
              <w:rPr>
                <w:rFonts w:asciiTheme="minorHAnsi" w:hAnsiTheme="minorHAnsi" w:cstheme="minorHAnsi"/>
                <w:bCs/>
                <w:sz w:val="20"/>
                <w:szCs w:val="20"/>
              </w:rPr>
              <w:t>Focusing on the Most Painful</w:t>
            </w:r>
          </w:p>
          <w:p w:rsidR="00686D92" w:rsidRPr="0034148C" w:rsidRDefault="00686D92" w:rsidP="00190F2A">
            <w:pPr>
              <w:spacing w:after="0"/>
              <w:jc w:val="left"/>
              <w:rPr>
                <w:rFonts w:asciiTheme="minorHAnsi" w:hAnsiTheme="minorHAnsi" w:cstheme="minorHAnsi"/>
                <w:bCs/>
                <w:sz w:val="20"/>
                <w:szCs w:val="20"/>
              </w:rPr>
            </w:pPr>
          </w:p>
        </w:tc>
        <w:tc>
          <w:tcPr>
            <w:tcW w:w="6210" w:type="dxa"/>
          </w:tcPr>
          <w:p w:rsidR="00BD601A" w:rsidRPr="0034148C" w:rsidRDefault="00BD601A" w:rsidP="00BD269C">
            <w:pPr>
              <w:pStyle w:val="ListParagraph"/>
              <w:numPr>
                <w:ilvl w:val="0"/>
                <w:numId w:val="12"/>
              </w:numPr>
              <w:spacing w:after="0"/>
              <w:ind w:left="252" w:hanging="252"/>
              <w:rPr>
                <w:rFonts w:asciiTheme="minorHAnsi" w:hAnsiTheme="minorHAnsi" w:cstheme="minorHAnsi"/>
                <w:sz w:val="20"/>
                <w:szCs w:val="20"/>
              </w:rPr>
            </w:pPr>
            <w:r w:rsidRPr="0034148C">
              <w:rPr>
                <w:rFonts w:asciiTheme="minorHAnsi" w:hAnsiTheme="minorHAnsi" w:cstheme="minorHAnsi"/>
                <w:sz w:val="20"/>
                <w:szCs w:val="20"/>
              </w:rPr>
              <w:t>700 women/girls benefitted from legal/health consultation (100 fewer than in the project proposal)</w:t>
            </w:r>
          </w:p>
          <w:p w:rsidR="00BD601A" w:rsidRPr="0034148C" w:rsidRDefault="00BD601A" w:rsidP="00BD269C">
            <w:pPr>
              <w:pStyle w:val="ListParagraph"/>
              <w:numPr>
                <w:ilvl w:val="0"/>
                <w:numId w:val="12"/>
              </w:numPr>
              <w:spacing w:after="0"/>
              <w:ind w:left="252" w:hanging="252"/>
              <w:rPr>
                <w:rFonts w:asciiTheme="minorHAnsi" w:hAnsiTheme="minorHAnsi" w:cstheme="minorHAnsi"/>
                <w:sz w:val="20"/>
                <w:szCs w:val="20"/>
              </w:rPr>
            </w:pPr>
            <w:proofErr w:type="gramStart"/>
            <w:r w:rsidRPr="0034148C">
              <w:rPr>
                <w:rFonts w:asciiTheme="minorHAnsi" w:hAnsiTheme="minorHAnsi" w:cstheme="minorHAnsi"/>
                <w:sz w:val="20"/>
                <w:szCs w:val="20"/>
              </w:rPr>
              <w:t>250</w:t>
            </w:r>
            <w:proofErr w:type="gramEnd"/>
            <w:r w:rsidRPr="0034148C">
              <w:rPr>
                <w:rFonts w:asciiTheme="minorHAnsi" w:hAnsiTheme="minorHAnsi" w:cstheme="minorHAnsi"/>
                <w:sz w:val="20"/>
                <w:szCs w:val="20"/>
              </w:rPr>
              <w:t xml:space="preserve"> women/girls received booklets on health care issues. However, no evidence is presented about whether awareness of health issues was raised or behavior changed </w:t>
            </w:r>
            <w:proofErr w:type="gramStart"/>
            <w:r w:rsidRPr="0034148C">
              <w:rPr>
                <w:rFonts w:asciiTheme="minorHAnsi" w:hAnsiTheme="minorHAnsi" w:cstheme="minorHAnsi"/>
                <w:sz w:val="20"/>
                <w:szCs w:val="20"/>
              </w:rPr>
              <w:t>as a result</w:t>
            </w:r>
            <w:proofErr w:type="gramEnd"/>
            <w:r w:rsidRPr="0034148C">
              <w:rPr>
                <w:rFonts w:asciiTheme="minorHAnsi" w:hAnsiTheme="minorHAnsi" w:cstheme="minorHAnsi"/>
                <w:sz w:val="20"/>
                <w:szCs w:val="20"/>
              </w:rPr>
              <w:t xml:space="preserve"> of the information that was provided.</w:t>
            </w:r>
          </w:p>
          <w:p w:rsidR="00BD601A" w:rsidRPr="0034148C" w:rsidRDefault="00BD601A" w:rsidP="00BD269C">
            <w:pPr>
              <w:pStyle w:val="ListParagraph"/>
              <w:numPr>
                <w:ilvl w:val="0"/>
                <w:numId w:val="12"/>
              </w:numPr>
              <w:spacing w:after="0"/>
              <w:ind w:left="252" w:hanging="252"/>
              <w:rPr>
                <w:rFonts w:asciiTheme="minorHAnsi" w:hAnsiTheme="minorHAnsi" w:cstheme="minorHAnsi"/>
                <w:sz w:val="20"/>
                <w:szCs w:val="20"/>
              </w:rPr>
            </w:pPr>
            <w:proofErr w:type="gramStart"/>
            <w:r w:rsidRPr="0034148C">
              <w:rPr>
                <w:rFonts w:asciiTheme="minorHAnsi" w:hAnsiTheme="minorHAnsi" w:cstheme="minorHAnsi"/>
                <w:sz w:val="20"/>
                <w:szCs w:val="20"/>
              </w:rPr>
              <w:t>30</w:t>
            </w:r>
            <w:proofErr w:type="gramEnd"/>
            <w:r w:rsidRPr="0034148C">
              <w:rPr>
                <w:rFonts w:asciiTheme="minorHAnsi" w:hAnsiTheme="minorHAnsi" w:cstheme="minorHAnsi"/>
                <w:sz w:val="20"/>
                <w:szCs w:val="20"/>
              </w:rPr>
              <w:t xml:space="preserve"> women received training. Of </w:t>
            </w:r>
            <w:proofErr w:type="gramStart"/>
            <w:r w:rsidRPr="0034148C">
              <w:rPr>
                <w:rFonts w:asciiTheme="minorHAnsi" w:hAnsiTheme="minorHAnsi" w:cstheme="minorHAnsi"/>
                <w:sz w:val="20"/>
                <w:szCs w:val="20"/>
              </w:rPr>
              <w:t>these</w:t>
            </w:r>
            <w:proofErr w:type="gramEnd"/>
            <w:r w:rsidRPr="0034148C">
              <w:rPr>
                <w:rFonts w:asciiTheme="minorHAnsi" w:hAnsiTheme="minorHAnsi" w:cstheme="minorHAnsi"/>
                <w:sz w:val="20"/>
                <w:szCs w:val="20"/>
              </w:rPr>
              <w:t xml:space="preserve"> some went on to establish community teams, an NGO, and some went on to receive grants as part of the SIIMS start-up grants for IDP women scheme. It is not clear how instrumental the training was in this regard (women who did not receive the training </w:t>
            </w:r>
            <w:proofErr w:type="gramStart"/>
            <w:r w:rsidRPr="0034148C">
              <w:rPr>
                <w:rFonts w:asciiTheme="minorHAnsi" w:hAnsiTheme="minorHAnsi" w:cstheme="minorHAnsi"/>
                <w:sz w:val="20"/>
                <w:szCs w:val="20"/>
              </w:rPr>
              <w:t>were also provided</w:t>
            </w:r>
            <w:proofErr w:type="gramEnd"/>
            <w:r w:rsidRPr="0034148C">
              <w:rPr>
                <w:rFonts w:asciiTheme="minorHAnsi" w:hAnsiTheme="minorHAnsi" w:cstheme="minorHAnsi"/>
                <w:sz w:val="20"/>
                <w:szCs w:val="20"/>
              </w:rPr>
              <w:t xml:space="preserve"> with grants). </w:t>
            </w:r>
          </w:p>
          <w:p w:rsidR="00686D92" w:rsidRPr="0034148C" w:rsidRDefault="00BD601A" w:rsidP="00BD269C">
            <w:pPr>
              <w:pStyle w:val="ListParagraph"/>
              <w:numPr>
                <w:ilvl w:val="0"/>
                <w:numId w:val="12"/>
              </w:numPr>
              <w:spacing w:after="0"/>
              <w:ind w:left="252" w:hanging="252"/>
              <w:rPr>
                <w:rFonts w:asciiTheme="minorHAnsi" w:hAnsiTheme="minorHAnsi" w:cstheme="minorHAnsi"/>
                <w:sz w:val="20"/>
                <w:szCs w:val="20"/>
              </w:rPr>
            </w:pPr>
            <w:r w:rsidRPr="0034148C">
              <w:rPr>
                <w:rFonts w:asciiTheme="minorHAnsi" w:hAnsiTheme="minorHAnsi" w:cstheme="minorHAnsi"/>
                <w:sz w:val="20"/>
                <w:szCs w:val="20"/>
              </w:rPr>
              <w:t xml:space="preserve">Training of 15 Sakrebulo members appears to have raised the attention paid to women’s issues within Sakrebulo and the openness with which these issues </w:t>
            </w:r>
            <w:proofErr w:type="gramStart"/>
            <w:r w:rsidRPr="0034148C">
              <w:rPr>
                <w:rFonts w:asciiTheme="minorHAnsi" w:hAnsiTheme="minorHAnsi" w:cstheme="minorHAnsi"/>
                <w:sz w:val="20"/>
                <w:szCs w:val="20"/>
              </w:rPr>
              <w:t>can be discussed</w:t>
            </w:r>
            <w:proofErr w:type="gramEnd"/>
            <w:r w:rsidRPr="0034148C">
              <w:rPr>
                <w:rFonts w:asciiTheme="minorHAnsi" w:hAnsiTheme="minorHAnsi" w:cstheme="minorHAnsi"/>
                <w:sz w:val="20"/>
                <w:szCs w:val="20"/>
              </w:rPr>
              <w:t xml:space="preserve">. This, in turn, has led to an increase in budget allocation for women’s issues. It is not clear whether any of the specific issues raised during the meetings with the social mobilization groups </w:t>
            </w:r>
            <w:proofErr w:type="gramStart"/>
            <w:r w:rsidRPr="0034148C">
              <w:rPr>
                <w:rFonts w:asciiTheme="minorHAnsi" w:hAnsiTheme="minorHAnsi" w:cstheme="minorHAnsi"/>
                <w:sz w:val="20"/>
                <w:szCs w:val="20"/>
              </w:rPr>
              <w:t>have been addressed</w:t>
            </w:r>
            <w:proofErr w:type="gramEnd"/>
            <w:r w:rsidRPr="0034148C">
              <w:rPr>
                <w:rFonts w:asciiTheme="minorHAnsi" w:hAnsiTheme="minorHAnsi" w:cstheme="minorHAnsi"/>
                <w:sz w:val="20"/>
                <w:szCs w:val="20"/>
              </w:rPr>
              <w:t>.</w:t>
            </w:r>
          </w:p>
        </w:tc>
        <w:tc>
          <w:tcPr>
            <w:tcW w:w="1440" w:type="dxa"/>
          </w:tcPr>
          <w:p w:rsidR="00686D92" w:rsidRPr="0034148C" w:rsidRDefault="00BD601A" w:rsidP="00190F2A">
            <w:pPr>
              <w:spacing w:after="0"/>
              <w:rPr>
                <w:rFonts w:asciiTheme="minorHAnsi" w:hAnsiTheme="minorHAnsi" w:cstheme="minorHAnsi"/>
                <w:sz w:val="20"/>
                <w:szCs w:val="20"/>
              </w:rPr>
            </w:pPr>
            <w:r w:rsidRPr="0034148C">
              <w:rPr>
                <w:rFonts w:asciiTheme="minorHAnsi" w:hAnsiTheme="minorHAnsi" w:cstheme="minorHAnsi"/>
                <w:sz w:val="20"/>
                <w:szCs w:val="20"/>
              </w:rPr>
              <w:t>11</w:t>
            </w:r>
            <w:r w:rsidR="00BD269C" w:rsidRPr="0034148C">
              <w:rPr>
                <w:rFonts w:asciiTheme="minorHAnsi" w:hAnsiTheme="minorHAnsi" w:cstheme="minorHAnsi"/>
                <w:sz w:val="20"/>
                <w:szCs w:val="20"/>
              </w:rPr>
              <w:t xml:space="preserve"> (high)</w:t>
            </w:r>
          </w:p>
        </w:tc>
      </w:tr>
      <w:tr w:rsidR="00686D92" w:rsidRPr="0034148C" w:rsidTr="003D3F0C">
        <w:trPr>
          <w:cantSplit/>
        </w:trPr>
        <w:tc>
          <w:tcPr>
            <w:tcW w:w="1908" w:type="dxa"/>
          </w:tcPr>
          <w:p w:rsidR="00BD601A" w:rsidRPr="0034148C" w:rsidRDefault="00BD601A" w:rsidP="00190F2A">
            <w:pPr>
              <w:spacing w:after="0"/>
              <w:jc w:val="left"/>
              <w:rPr>
                <w:rFonts w:asciiTheme="minorHAnsi" w:hAnsiTheme="minorHAnsi" w:cstheme="minorHAnsi"/>
                <w:bCs/>
                <w:color w:val="336699"/>
                <w:sz w:val="20"/>
                <w:szCs w:val="20"/>
              </w:rPr>
            </w:pPr>
            <w:r w:rsidRPr="0034148C">
              <w:rPr>
                <w:rFonts w:asciiTheme="minorHAnsi" w:hAnsiTheme="minorHAnsi" w:cstheme="minorHAnsi"/>
                <w:bCs/>
                <w:sz w:val="20"/>
                <w:szCs w:val="20"/>
              </w:rPr>
              <w:t>Society Biliki</w:t>
            </w:r>
            <w:r w:rsidR="00BD269C" w:rsidRPr="0034148C">
              <w:rPr>
                <w:rFonts w:asciiTheme="minorHAnsi" w:hAnsiTheme="minorHAnsi" w:cstheme="minorHAnsi"/>
                <w:bCs/>
                <w:sz w:val="20"/>
                <w:szCs w:val="20"/>
              </w:rPr>
              <w:t>:</w:t>
            </w:r>
            <w:r w:rsidRPr="0034148C">
              <w:rPr>
                <w:rFonts w:asciiTheme="minorHAnsi" w:hAnsiTheme="minorHAnsi" w:cstheme="minorHAnsi"/>
                <w:bCs/>
                <w:color w:val="336699"/>
                <w:sz w:val="20"/>
                <w:szCs w:val="20"/>
              </w:rPr>
              <w:t xml:space="preserve">            </w:t>
            </w:r>
            <w:r w:rsidRPr="0034148C">
              <w:rPr>
                <w:rFonts w:asciiTheme="minorHAnsi" w:hAnsiTheme="minorHAnsi" w:cstheme="minorHAnsi"/>
                <w:bCs/>
                <w:sz w:val="20"/>
                <w:szCs w:val="20"/>
              </w:rPr>
              <w:t>Let’s Help Each Other II</w:t>
            </w:r>
          </w:p>
          <w:p w:rsidR="00686D92" w:rsidRPr="0034148C" w:rsidRDefault="00686D92" w:rsidP="00190F2A">
            <w:pPr>
              <w:spacing w:after="0"/>
              <w:jc w:val="left"/>
              <w:rPr>
                <w:rFonts w:asciiTheme="minorHAnsi" w:hAnsiTheme="minorHAnsi" w:cstheme="minorHAnsi"/>
                <w:bCs/>
                <w:sz w:val="20"/>
                <w:szCs w:val="20"/>
              </w:rPr>
            </w:pPr>
          </w:p>
        </w:tc>
        <w:tc>
          <w:tcPr>
            <w:tcW w:w="6210" w:type="dxa"/>
          </w:tcPr>
          <w:p w:rsidR="00BD601A" w:rsidRPr="0034148C" w:rsidRDefault="00BD601A" w:rsidP="00BD269C">
            <w:pPr>
              <w:pStyle w:val="ListParagraph"/>
              <w:numPr>
                <w:ilvl w:val="0"/>
                <w:numId w:val="12"/>
              </w:numPr>
              <w:spacing w:after="0"/>
              <w:ind w:left="252" w:hanging="252"/>
              <w:rPr>
                <w:rFonts w:asciiTheme="minorHAnsi" w:hAnsiTheme="minorHAnsi" w:cstheme="minorHAnsi"/>
                <w:sz w:val="20"/>
                <w:szCs w:val="20"/>
              </w:rPr>
            </w:pPr>
            <w:r w:rsidRPr="0034148C">
              <w:rPr>
                <w:rFonts w:asciiTheme="minorHAnsi" w:hAnsiTheme="minorHAnsi" w:cstheme="minorHAnsi"/>
                <w:sz w:val="20"/>
                <w:szCs w:val="20"/>
              </w:rPr>
              <w:t>The main benefit highlighted by FGD participants was simply the chance to have something to do and to interact with each other – which helped IDP and local children open up to each other.</w:t>
            </w:r>
          </w:p>
          <w:p w:rsidR="00BD601A" w:rsidRPr="0034148C" w:rsidRDefault="00BD601A" w:rsidP="00BD269C">
            <w:pPr>
              <w:pStyle w:val="ListParagraph"/>
              <w:numPr>
                <w:ilvl w:val="0"/>
                <w:numId w:val="12"/>
              </w:numPr>
              <w:spacing w:after="0"/>
              <w:ind w:left="252" w:hanging="252"/>
              <w:rPr>
                <w:rFonts w:asciiTheme="minorHAnsi" w:hAnsiTheme="minorHAnsi" w:cstheme="minorHAnsi"/>
                <w:sz w:val="20"/>
                <w:szCs w:val="20"/>
              </w:rPr>
            </w:pPr>
            <w:proofErr w:type="gramStart"/>
            <w:r w:rsidRPr="0034148C">
              <w:rPr>
                <w:rFonts w:asciiTheme="minorHAnsi" w:hAnsiTheme="minorHAnsi" w:cstheme="minorHAnsi"/>
                <w:sz w:val="20"/>
                <w:szCs w:val="20"/>
              </w:rPr>
              <w:t>Pre and post-test scores not available for training.</w:t>
            </w:r>
            <w:proofErr w:type="gramEnd"/>
            <w:r w:rsidRPr="0034148C">
              <w:rPr>
                <w:rFonts w:asciiTheme="minorHAnsi" w:hAnsiTheme="minorHAnsi" w:cstheme="minorHAnsi"/>
                <w:sz w:val="20"/>
                <w:szCs w:val="20"/>
              </w:rPr>
              <w:t xml:space="preserve">  During the FGD, there were two oblique reference</w:t>
            </w:r>
            <w:r w:rsidR="00BD269C" w:rsidRPr="0034148C">
              <w:rPr>
                <w:rFonts w:asciiTheme="minorHAnsi" w:hAnsiTheme="minorHAnsi" w:cstheme="minorHAnsi"/>
                <w:sz w:val="20"/>
                <w:szCs w:val="20"/>
              </w:rPr>
              <w:t>s</w:t>
            </w:r>
            <w:r w:rsidRPr="0034148C">
              <w:rPr>
                <w:rFonts w:asciiTheme="minorHAnsi" w:hAnsiTheme="minorHAnsi" w:cstheme="minorHAnsi"/>
                <w:sz w:val="20"/>
                <w:szCs w:val="20"/>
              </w:rPr>
              <w:t xml:space="preserve"> to “now I know how to manage projects” and “I know about self-government”. In terms of fostering mobilization and problem solving amongst youth, one case was mentioned of a group of young people who wanted to organize a comedy </w:t>
            </w:r>
            <w:proofErr w:type="gramStart"/>
            <w:r w:rsidRPr="0034148C">
              <w:rPr>
                <w:rFonts w:asciiTheme="minorHAnsi" w:hAnsiTheme="minorHAnsi" w:cstheme="minorHAnsi"/>
                <w:sz w:val="20"/>
                <w:szCs w:val="20"/>
              </w:rPr>
              <w:t>competition and arranged meetings with the local government</w:t>
            </w:r>
            <w:proofErr w:type="gramEnd"/>
            <w:r w:rsidRPr="0034148C">
              <w:rPr>
                <w:rFonts w:asciiTheme="minorHAnsi" w:hAnsiTheme="minorHAnsi" w:cstheme="minorHAnsi"/>
                <w:sz w:val="20"/>
                <w:szCs w:val="20"/>
              </w:rPr>
              <w:t xml:space="preserve"> and got permission to run the competition.</w:t>
            </w:r>
          </w:p>
          <w:p w:rsidR="00BD601A" w:rsidRPr="0034148C" w:rsidRDefault="00BD601A" w:rsidP="00BD269C">
            <w:pPr>
              <w:pStyle w:val="ListParagraph"/>
              <w:numPr>
                <w:ilvl w:val="0"/>
                <w:numId w:val="12"/>
              </w:numPr>
              <w:spacing w:after="0"/>
              <w:ind w:left="252" w:hanging="252"/>
              <w:rPr>
                <w:rFonts w:asciiTheme="minorHAnsi" w:hAnsiTheme="minorHAnsi" w:cstheme="minorHAnsi"/>
                <w:sz w:val="20"/>
                <w:szCs w:val="20"/>
              </w:rPr>
            </w:pPr>
            <w:r w:rsidRPr="0034148C">
              <w:rPr>
                <w:rFonts w:asciiTheme="minorHAnsi" w:hAnsiTheme="minorHAnsi" w:cstheme="minorHAnsi"/>
                <w:sz w:val="20"/>
                <w:szCs w:val="20"/>
              </w:rPr>
              <w:t>Participants in the journalist club produced films and articles about youth problems, such as smoking and associating with bad people. FGD participants reported that it had been an interesting activity to do.</w:t>
            </w:r>
          </w:p>
          <w:p w:rsidR="00BD601A" w:rsidRPr="0034148C" w:rsidRDefault="00BD601A" w:rsidP="00BD269C">
            <w:pPr>
              <w:pStyle w:val="ListParagraph"/>
              <w:numPr>
                <w:ilvl w:val="0"/>
                <w:numId w:val="12"/>
              </w:numPr>
              <w:spacing w:after="0"/>
              <w:ind w:left="252" w:hanging="252"/>
              <w:rPr>
                <w:rFonts w:asciiTheme="minorHAnsi" w:hAnsiTheme="minorHAnsi" w:cstheme="minorHAnsi"/>
                <w:sz w:val="20"/>
                <w:szCs w:val="20"/>
              </w:rPr>
            </w:pPr>
            <w:r w:rsidRPr="0034148C">
              <w:rPr>
                <w:rFonts w:asciiTheme="minorHAnsi" w:hAnsiTheme="minorHAnsi" w:cstheme="minorHAnsi"/>
                <w:sz w:val="20"/>
                <w:szCs w:val="20"/>
              </w:rPr>
              <w:t xml:space="preserve">Biliki ran the working groups and advocated on behalf of the IDPs. </w:t>
            </w:r>
            <w:proofErr w:type="gramStart"/>
            <w:r w:rsidRPr="0034148C">
              <w:rPr>
                <w:rFonts w:asciiTheme="minorHAnsi" w:hAnsiTheme="minorHAnsi" w:cstheme="minorHAnsi"/>
                <w:sz w:val="20"/>
                <w:szCs w:val="20"/>
              </w:rPr>
              <w:t>As a result</w:t>
            </w:r>
            <w:proofErr w:type="gramEnd"/>
            <w:r w:rsidRPr="0034148C">
              <w:rPr>
                <w:rFonts w:asciiTheme="minorHAnsi" w:hAnsiTheme="minorHAnsi" w:cstheme="minorHAnsi"/>
                <w:sz w:val="20"/>
                <w:szCs w:val="20"/>
              </w:rPr>
              <w:t xml:space="preserve"> of these meetings the municipality engaged in a number of initiatives such as building a bus shelter and erecting a fence.</w:t>
            </w:r>
          </w:p>
          <w:p w:rsidR="00686D92" w:rsidRPr="0034148C" w:rsidRDefault="00BD601A" w:rsidP="00BD269C">
            <w:pPr>
              <w:pStyle w:val="ListParagraph"/>
              <w:numPr>
                <w:ilvl w:val="0"/>
                <w:numId w:val="12"/>
              </w:numPr>
              <w:spacing w:after="0"/>
              <w:ind w:left="252" w:hanging="252"/>
              <w:rPr>
                <w:rFonts w:asciiTheme="minorHAnsi" w:hAnsiTheme="minorHAnsi" w:cstheme="minorHAnsi"/>
                <w:sz w:val="20"/>
                <w:szCs w:val="20"/>
              </w:rPr>
            </w:pPr>
            <w:r w:rsidRPr="0034148C">
              <w:rPr>
                <w:rFonts w:asciiTheme="minorHAnsi" w:hAnsiTheme="minorHAnsi" w:cstheme="minorHAnsi"/>
                <w:sz w:val="20"/>
                <w:szCs w:val="20"/>
              </w:rPr>
              <w:t xml:space="preserve">- FGD participants report that before the project began parents were resistant to supporting the teachers, and now they are more willing. </w:t>
            </w:r>
            <w:proofErr w:type="gramStart"/>
            <w:r w:rsidRPr="0034148C">
              <w:rPr>
                <w:rFonts w:asciiTheme="minorHAnsi" w:hAnsiTheme="minorHAnsi" w:cstheme="minorHAnsi"/>
                <w:sz w:val="20"/>
                <w:szCs w:val="20"/>
              </w:rPr>
              <w:t>Generally</w:t>
            </w:r>
            <w:proofErr w:type="gramEnd"/>
            <w:r w:rsidRPr="0034148C">
              <w:rPr>
                <w:rFonts w:asciiTheme="minorHAnsi" w:hAnsiTheme="minorHAnsi" w:cstheme="minorHAnsi"/>
                <w:sz w:val="20"/>
                <w:szCs w:val="20"/>
              </w:rPr>
              <w:t xml:space="preserve"> the parents are more involved in the life of the school. If they meet the teachers in the </w:t>
            </w:r>
            <w:proofErr w:type="gramStart"/>
            <w:r w:rsidRPr="0034148C">
              <w:rPr>
                <w:rFonts w:asciiTheme="minorHAnsi" w:hAnsiTheme="minorHAnsi" w:cstheme="minorHAnsi"/>
                <w:sz w:val="20"/>
                <w:szCs w:val="20"/>
              </w:rPr>
              <w:t>street</w:t>
            </w:r>
            <w:proofErr w:type="gramEnd"/>
            <w:r w:rsidRPr="0034148C">
              <w:rPr>
                <w:rFonts w:asciiTheme="minorHAnsi" w:hAnsiTheme="minorHAnsi" w:cstheme="minorHAnsi"/>
                <w:sz w:val="20"/>
                <w:szCs w:val="20"/>
              </w:rPr>
              <w:t xml:space="preserve"> they will now stop to have an informal chat about school issues. This did not happen before.</w:t>
            </w:r>
          </w:p>
        </w:tc>
        <w:tc>
          <w:tcPr>
            <w:tcW w:w="1440" w:type="dxa"/>
          </w:tcPr>
          <w:p w:rsidR="00686D92" w:rsidRPr="0034148C" w:rsidRDefault="00BD601A" w:rsidP="00190F2A">
            <w:pPr>
              <w:spacing w:after="0"/>
              <w:rPr>
                <w:rFonts w:asciiTheme="minorHAnsi" w:hAnsiTheme="minorHAnsi" w:cstheme="minorHAnsi"/>
                <w:sz w:val="20"/>
                <w:szCs w:val="20"/>
              </w:rPr>
            </w:pPr>
            <w:r w:rsidRPr="0034148C">
              <w:rPr>
                <w:rFonts w:asciiTheme="minorHAnsi" w:hAnsiTheme="minorHAnsi" w:cstheme="minorHAnsi"/>
                <w:sz w:val="20"/>
                <w:szCs w:val="20"/>
              </w:rPr>
              <w:t>6</w:t>
            </w:r>
            <w:r w:rsidR="00BD269C" w:rsidRPr="0034148C">
              <w:rPr>
                <w:rFonts w:asciiTheme="minorHAnsi" w:hAnsiTheme="minorHAnsi" w:cstheme="minorHAnsi"/>
                <w:sz w:val="20"/>
                <w:szCs w:val="20"/>
              </w:rPr>
              <w:t xml:space="preserve"> (acceptable)</w:t>
            </w:r>
          </w:p>
        </w:tc>
      </w:tr>
      <w:tr w:rsidR="00BD601A" w:rsidRPr="0034148C" w:rsidTr="003D3F0C">
        <w:trPr>
          <w:cantSplit/>
        </w:trPr>
        <w:tc>
          <w:tcPr>
            <w:tcW w:w="1908" w:type="dxa"/>
          </w:tcPr>
          <w:p w:rsidR="00190F2A" w:rsidRPr="0034148C" w:rsidRDefault="00190F2A" w:rsidP="00190F2A">
            <w:pPr>
              <w:spacing w:after="0"/>
              <w:jc w:val="left"/>
              <w:rPr>
                <w:rFonts w:asciiTheme="minorHAnsi" w:hAnsiTheme="minorHAnsi" w:cstheme="minorHAnsi"/>
                <w:bCs/>
                <w:color w:val="336699"/>
                <w:sz w:val="20"/>
                <w:szCs w:val="20"/>
              </w:rPr>
            </w:pPr>
            <w:r w:rsidRPr="0034148C">
              <w:rPr>
                <w:rFonts w:asciiTheme="minorHAnsi" w:hAnsiTheme="minorHAnsi" w:cstheme="minorHAnsi"/>
                <w:bCs/>
                <w:sz w:val="20"/>
                <w:szCs w:val="20"/>
              </w:rPr>
              <w:lastRenderedPageBreak/>
              <w:t>Indigo</w:t>
            </w:r>
            <w:r w:rsidR="00BD269C" w:rsidRPr="0034148C">
              <w:rPr>
                <w:rFonts w:asciiTheme="minorHAnsi" w:hAnsiTheme="minorHAnsi" w:cstheme="minorHAnsi"/>
                <w:bCs/>
                <w:sz w:val="20"/>
                <w:szCs w:val="20"/>
              </w:rPr>
              <w:t>:</w:t>
            </w:r>
            <w:r w:rsidRPr="0034148C">
              <w:rPr>
                <w:rFonts w:asciiTheme="minorHAnsi" w:hAnsiTheme="minorHAnsi" w:cstheme="minorHAnsi"/>
                <w:bCs/>
                <w:color w:val="336699"/>
                <w:sz w:val="20"/>
                <w:szCs w:val="20"/>
              </w:rPr>
              <w:t xml:space="preserve">            </w:t>
            </w:r>
            <w:r w:rsidRPr="0034148C">
              <w:rPr>
                <w:rFonts w:asciiTheme="minorHAnsi" w:hAnsiTheme="minorHAnsi" w:cstheme="minorHAnsi"/>
                <w:bCs/>
                <w:sz w:val="20"/>
                <w:szCs w:val="20"/>
              </w:rPr>
              <w:t>Strengthening Advocacy of IDPs</w:t>
            </w:r>
          </w:p>
          <w:p w:rsidR="00BD601A" w:rsidRPr="0034148C" w:rsidRDefault="00BD601A" w:rsidP="00190F2A">
            <w:pPr>
              <w:spacing w:after="0"/>
              <w:jc w:val="left"/>
              <w:rPr>
                <w:rFonts w:asciiTheme="minorHAnsi" w:hAnsiTheme="minorHAnsi" w:cstheme="minorHAnsi"/>
                <w:bCs/>
                <w:sz w:val="20"/>
                <w:szCs w:val="20"/>
              </w:rPr>
            </w:pPr>
          </w:p>
        </w:tc>
        <w:tc>
          <w:tcPr>
            <w:tcW w:w="6210" w:type="dxa"/>
          </w:tcPr>
          <w:p w:rsidR="00190F2A" w:rsidRPr="0034148C" w:rsidRDefault="00190F2A" w:rsidP="00BD269C">
            <w:pPr>
              <w:pStyle w:val="ListParagraph"/>
              <w:numPr>
                <w:ilvl w:val="0"/>
                <w:numId w:val="13"/>
              </w:numPr>
              <w:spacing w:after="0"/>
              <w:ind w:left="252" w:hanging="252"/>
              <w:rPr>
                <w:rFonts w:asciiTheme="minorHAnsi" w:hAnsiTheme="minorHAnsi" w:cstheme="minorHAnsi"/>
                <w:sz w:val="20"/>
                <w:szCs w:val="20"/>
              </w:rPr>
            </w:pPr>
            <w:r w:rsidRPr="0034148C">
              <w:rPr>
                <w:rFonts w:asciiTheme="minorHAnsi" w:hAnsiTheme="minorHAnsi" w:cstheme="minorHAnsi"/>
                <w:sz w:val="20"/>
                <w:szCs w:val="20"/>
              </w:rPr>
              <w:t xml:space="preserve">FGD participants report that the project increased their understanding of their health and health insurance rights and helped them solve their own health access problems, increasing their understanding of different actors to </w:t>
            </w:r>
            <w:proofErr w:type="gramStart"/>
            <w:r w:rsidRPr="0034148C">
              <w:rPr>
                <w:rFonts w:asciiTheme="minorHAnsi" w:hAnsiTheme="minorHAnsi" w:cstheme="minorHAnsi"/>
                <w:sz w:val="20"/>
                <w:szCs w:val="20"/>
              </w:rPr>
              <w:t>address and how to communicate their problems clearly</w:t>
            </w:r>
            <w:proofErr w:type="gramEnd"/>
            <w:r w:rsidRPr="0034148C">
              <w:rPr>
                <w:rFonts w:asciiTheme="minorHAnsi" w:hAnsiTheme="minorHAnsi" w:cstheme="minorHAnsi"/>
                <w:sz w:val="20"/>
                <w:szCs w:val="20"/>
              </w:rPr>
              <w:t xml:space="preserve">. FGD participants were able to cite a number of examples of independent action. (In this </w:t>
            </w:r>
            <w:proofErr w:type="gramStart"/>
            <w:r w:rsidRPr="0034148C">
              <w:rPr>
                <w:rFonts w:asciiTheme="minorHAnsi" w:hAnsiTheme="minorHAnsi" w:cstheme="minorHAnsi"/>
                <w:sz w:val="20"/>
                <w:szCs w:val="20"/>
              </w:rPr>
              <w:t>regard</w:t>
            </w:r>
            <w:proofErr w:type="gramEnd"/>
            <w:r w:rsidRPr="0034148C">
              <w:rPr>
                <w:rFonts w:asciiTheme="minorHAnsi" w:hAnsiTheme="minorHAnsi" w:cstheme="minorHAnsi"/>
                <w:sz w:val="20"/>
                <w:szCs w:val="20"/>
              </w:rPr>
              <w:t xml:space="preserve"> it is important to note that a number of beneficiaries of this project are also participating in other advocacy projects. Their independent initiative, though inspired by Indigo, may also be demonstrating the cumulative impact of different projects).</w:t>
            </w:r>
          </w:p>
          <w:p w:rsidR="00190F2A" w:rsidRPr="0034148C" w:rsidRDefault="00190F2A" w:rsidP="00BD269C">
            <w:pPr>
              <w:pStyle w:val="ListParagraph"/>
              <w:numPr>
                <w:ilvl w:val="0"/>
                <w:numId w:val="13"/>
              </w:numPr>
              <w:spacing w:after="0"/>
              <w:ind w:left="252" w:hanging="252"/>
              <w:rPr>
                <w:rFonts w:asciiTheme="minorHAnsi" w:hAnsiTheme="minorHAnsi" w:cstheme="minorHAnsi"/>
                <w:sz w:val="20"/>
                <w:szCs w:val="20"/>
              </w:rPr>
            </w:pPr>
            <w:r w:rsidRPr="0034148C">
              <w:rPr>
                <w:rFonts w:asciiTheme="minorHAnsi" w:hAnsiTheme="minorHAnsi" w:cstheme="minorHAnsi"/>
                <w:sz w:val="20"/>
                <w:szCs w:val="20"/>
              </w:rPr>
              <w:t>Through meetings with insurance companies, beneficiaries were also able to solve a number of specific problems relating to their policies.</w:t>
            </w:r>
          </w:p>
          <w:p w:rsidR="00BD601A" w:rsidRPr="0034148C" w:rsidRDefault="00190F2A" w:rsidP="00BD269C">
            <w:pPr>
              <w:pStyle w:val="ListParagraph"/>
              <w:numPr>
                <w:ilvl w:val="0"/>
                <w:numId w:val="13"/>
              </w:numPr>
              <w:spacing w:after="0"/>
              <w:ind w:left="252" w:hanging="252"/>
              <w:rPr>
                <w:rFonts w:asciiTheme="minorHAnsi" w:hAnsiTheme="minorHAnsi" w:cstheme="minorHAnsi"/>
                <w:sz w:val="20"/>
                <w:szCs w:val="20"/>
              </w:rPr>
            </w:pPr>
            <w:r w:rsidRPr="0034148C">
              <w:rPr>
                <w:rFonts w:asciiTheme="minorHAnsi" w:hAnsiTheme="minorHAnsi" w:cstheme="minorHAnsi"/>
                <w:sz w:val="20"/>
                <w:szCs w:val="20"/>
              </w:rPr>
              <w:t xml:space="preserve">FGD participants report that the project has also helped them integrate into the surrounding community. During the </w:t>
            </w:r>
            <w:proofErr w:type="gramStart"/>
            <w:r w:rsidRPr="0034148C">
              <w:rPr>
                <w:rFonts w:asciiTheme="minorHAnsi" w:hAnsiTheme="minorHAnsi" w:cstheme="minorHAnsi"/>
                <w:sz w:val="20"/>
                <w:szCs w:val="20"/>
              </w:rPr>
              <w:t>trainings</w:t>
            </w:r>
            <w:proofErr w:type="gramEnd"/>
            <w:r w:rsidRPr="0034148C">
              <w:rPr>
                <w:rFonts w:asciiTheme="minorHAnsi" w:hAnsiTheme="minorHAnsi" w:cstheme="minorHAnsi"/>
                <w:sz w:val="20"/>
                <w:szCs w:val="20"/>
              </w:rPr>
              <w:t xml:space="preserve"> they made friends with women from the local Azeri community. They reported that they still try to keep in contacts with these women and </w:t>
            </w:r>
            <w:proofErr w:type="gramStart"/>
            <w:r w:rsidRPr="0034148C">
              <w:rPr>
                <w:rFonts w:asciiTheme="minorHAnsi" w:hAnsiTheme="minorHAnsi" w:cstheme="minorHAnsi"/>
                <w:sz w:val="20"/>
                <w:szCs w:val="20"/>
              </w:rPr>
              <w:t>have been invited</w:t>
            </w:r>
            <w:proofErr w:type="gramEnd"/>
            <w:r w:rsidRPr="0034148C">
              <w:rPr>
                <w:rFonts w:asciiTheme="minorHAnsi" w:hAnsiTheme="minorHAnsi" w:cstheme="minorHAnsi"/>
                <w:sz w:val="20"/>
                <w:szCs w:val="20"/>
              </w:rPr>
              <w:t xml:space="preserve"> to spend holidays with their neighbors. The interaction of the project helped them understand the situation of the host community.</w:t>
            </w:r>
          </w:p>
        </w:tc>
        <w:tc>
          <w:tcPr>
            <w:tcW w:w="1440" w:type="dxa"/>
          </w:tcPr>
          <w:p w:rsidR="00BD601A" w:rsidRPr="0034148C" w:rsidRDefault="00190F2A" w:rsidP="00190F2A">
            <w:pPr>
              <w:spacing w:after="0"/>
              <w:rPr>
                <w:rFonts w:asciiTheme="minorHAnsi" w:hAnsiTheme="minorHAnsi" w:cstheme="minorHAnsi"/>
                <w:sz w:val="20"/>
                <w:szCs w:val="20"/>
              </w:rPr>
            </w:pPr>
            <w:r w:rsidRPr="0034148C">
              <w:rPr>
                <w:rFonts w:asciiTheme="minorHAnsi" w:hAnsiTheme="minorHAnsi" w:cstheme="minorHAnsi"/>
                <w:sz w:val="20"/>
                <w:szCs w:val="20"/>
              </w:rPr>
              <w:t>9</w:t>
            </w:r>
            <w:r w:rsidR="00BD269C" w:rsidRPr="0034148C">
              <w:rPr>
                <w:rFonts w:asciiTheme="minorHAnsi" w:hAnsiTheme="minorHAnsi" w:cstheme="minorHAnsi"/>
                <w:sz w:val="20"/>
                <w:szCs w:val="20"/>
              </w:rPr>
              <w:t xml:space="preserve"> (high)</w:t>
            </w:r>
          </w:p>
        </w:tc>
      </w:tr>
    </w:tbl>
    <w:p w:rsidR="00686D92" w:rsidRPr="0034148C" w:rsidRDefault="00686D92" w:rsidP="00686D92"/>
    <w:p w:rsidR="00922CE7" w:rsidRPr="0034148C" w:rsidRDefault="00922CE7" w:rsidP="00922CE7">
      <w:r w:rsidRPr="0034148C">
        <w:t xml:space="preserve">Based on the above sample of projects, one can conclude with reasonable certainty that </w:t>
      </w:r>
      <w:r w:rsidRPr="0034148C">
        <w:rPr>
          <w:bCs/>
        </w:rPr>
        <w:t xml:space="preserve">the 15 CSO projects supported by SIIMS enabled the integration of IDPs and communities. </w:t>
      </w:r>
      <w:r w:rsidRPr="0034148C">
        <w:t xml:space="preserve">This is particularly the case in relation to building relationships between IDPs and people in the host community and fostering positive attitudes towards one another. These contributions appear sustainable. The projects </w:t>
      </w:r>
      <w:proofErr w:type="gramStart"/>
      <w:r w:rsidRPr="0034148C">
        <w:t>made some contribution</w:t>
      </w:r>
      <w:proofErr w:type="gramEnd"/>
      <w:r w:rsidRPr="0034148C">
        <w:t xml:space="preserve"> to enabling IDPs to exercise their rights and access services, to mobilizing IDPs to solve problems in their communities and to connect IDPs to local government representatives. However, these contributions may not all be sustainable.</w:t>
      </w:r>
    </w:p>
    <w:p w:rsidR="007575F9" w:rsidRPr="0034148C" w:rsidRDefault="003D3F0C" w:rsidP="003D3F0C">
      <w:pPr>
        <w:pStyle w:val="Heading2"/>
      </w:pPr>
      <w:bookmarkStart w:id="270" w:name="_Toc338717158"/>
      <w:bookmarkStart w:id="271" w:name="_Toc338750190"/>
      <w:bookmarkStart w:id="272" w:name="_Toc339368783"/>
      <w:r w:rsidRPr="0034148C">
        <w:t>6.3 Effectiveness</w:t>
      </w:r>
      <w:r w:rsidR="003F652C">
        <w:t xml:space="preserve"> of the program</w:t>
      </w:r>
      <w:r w:rsidRPr="0034148C">
        <w:t xml:space="preserve"> in building CSO capacity</w:t>
      </w:r>
      <w:bookmarkEnd w:id="270"/>
      <w:bookmarkEnd w:id="271"/>
      <w:bookmarkEnd w:id="272"/>
    </w:p>
    <w:p w:rsidR="003D3F0C" w:rsidRPr="0034148C" w:rsidRDefault="003D3F0C" w:rsidP="008D113E">
      <w:r w:rsidRPr="0034148C">
        <w:t xml:space="preserve">Assessing whether SIIMS contributed to building the capacity of local CSOs to deliver social services is complicated by the fact that no baseline data is available on the capacity of the CSOs </w:t>
      </w:r>
      <w:r w:rsidR="008D113E" w:rsidRPr="0034148C">
        <w:t xml:space="preserve">before their </w:t>
      </w:r>
      <w:r w:rsidRPr="0034148C">
        <w:t>participat</w:t>
      </w:r>
      <w:r w:rsidR="008D113E" w:rsidRPr="0034148C">
        <w:t>ion in the project</w:t>
      </w:r>
      <w:r w:rsidRPr="0034148C">
        <w:t xml:space="preserve">. </w:t>
      </w:r>
      <w:r w:rsidR="00D91B10" w:rsidRPr="0034148C">
        <w:t>Furthermore,</w:t>
      </w:r>
      <w:r w:rsidRPr="0034148C">
        <w:t xml:space="preserve"> the group</w:t>
      </w:r>
      <w:r w:rsidR="008D113E" w:rsidRPr="0034148C">
        <w:t xml:space="preserve"> of</w:t>
      </w:r>
      <w:r w:rsidRPr="0034148C">
        <w:t xml:space="preserve"> CSOs involved in SIIMS is highly diverse: for one CSO the SIIMS grant was the first funding it had ever received</w:t>
      </w:r>
      <w:r w:rsidR="008D113E" w:rsidRPr="0034148C">
        <w:t xml:space="preserve">, </w:t>
      </w:r>
      <w:r w:rsidR="00D91B10" w:rsidRPr="0034148C">
        <w:t>while other</w:t>
      </w:r>
      <w:r w:rsidRPr="0034148C">
        <w:t xml:space="preserve"> CSOs are very well established and have a history of working with different donors. </w:t>
      </w:r>
    </w:p>
    <w:p w:rsidR="003D3F0C" w:rsidRPr="0034148C" w:rsidRDefault="008D113E" w:rsidP="008D113E">
      <w:r w:rsidRPr="0034148C">
        <w:t xml:space="preserve">With </w:t>
      </w:r>
      <w:r w:rsidR="003D3F0C" w:rsidRPr="0034148C">
        <w:t xml:space="preserve">respect </w:t>
      </w:r>
      <w:r w:rsidRPr="0034148C">
        <w:t>to</w:t>
      </w:r>
      <w:r w:rsidR="003D3F0C" w:rsidRPr="0034148C">
        <w:t xml:space="preserve"> the training provided in advance of the first round of the grants competition, evaluation forms suggest that the information provided on IDPs’ legal rights was particularly useful (six out of ten </w:t>
      </w:r>
      <w:r w:rsidRPr="0034148C">
        <w:t>organizations</w:t>
      </w:r>
      <w:r w:rsidR="003D3F0C" w:rsidRPr="0034148C">
        <w:t xml:space="preserve"> who returned completed training evaluation forms highlighted this). This information was new to many </w:t>
      </w:r>
      <w:r w:rsidRPr="0034148C">
        <w:t>organizations</w:t>
      </w:r>
      <w:r w:rsidR="003D3F0C" w:rsidRPr="0034148C">
        <w:t xml:space="preserve"> and helped them in implementing projects. Three respondents reported that the conflict resolution/</w:t>
      </w:r>
      <w:r w:rsidR="000571C8" w:rsidRPr="0034148C">
        <w:t xml:space="preserve"> </w:t>
      </w:r>
      <w:r w:rsidR="003D3F0C" w:rsidRPr="0034148C">
        <w:t>management/</w:t>
      </w:r>
      <w:r w:rsidR="000571C8" w:rsidRPr="0034148C">
        <w:t xml:space="preserve"> </w:t>
      </w:r>
      <w:r w:rsidR="003D3F0C" w:rsidRPr="0034148C">
        <w:t>communications part of the training had also been interesting</w:t>
      </w:r>
      <w:r w:rsidR="000571C8" w:rsidRPr="0034148C">
        <w:t>,</w:t>
      </w:r>
      <w:r w:rsidR="003D3F0C" w:rsidRPr="0034148C">
        <w:t xml:space="preserve"> and </w:t>
      </w:r>
      <w:r w:rsidR="000571C8" w:rsidRPr="0034148C">
        <w:t xml:space="preserve">they </w:t>
      </w:r>
      <w:r w:rsidR="003D3F0C" w:rsidRPr="0034148C">
        <w:t xml:space="preserve">provided examples of using new skills and knowledge outside of the training setting. Two respondents highlighted the gender component of the training as being particularly interesting. In one </w:t>
      </w:r>
      <w:proofErr w:type="gramStart"/>
      <w:r w:rsidR="003D3F0C" w:rsidRPr="0034148C">
        <w:t>case</w:t>
      </w:r>
      <w:proofErr w:type="gramEnd"/>
      <w:r w:rsidR="003D3F0C" w:rsidRPr="0034148C">
        <w:t xml:space="preserve"> the training had </w:t>
      </w:r>
      <w:r w:rsidR="003D3F0C" w:rsidRPr="0034148C">
        <w:lastRenderedPageBreak/>
        <w:t xml:space="preserve">led to the </w:t>
      </w:r>
      <w:r w:rsidRPr="0034148C">
        <w:t>organization</w:t>
      </w:r>
      <w:r w:rsidR="003D3F0C" w:rsidRPr="0034148C">
        <w:t xml:space="preserve"> adopting a gender policy. In the other case, the </w:t>
      </w:r>
      <w:r w:rsidRPr="0034148C">
        <w:t>organization</w:t>
      </w:r>
      <w:r w:rsidR="003D3F0C" w:rsidRPr="0034148C">
        <w:t xml:space="preserve"> went on to deliver gender trainings to its beneficiaries. Three respondents also highlighted that the training was a good opportunity to network with other local NGOs.</w:t>
      </w:r>
    </w:p>
    <w:p w:rsidR="003D3F0C" w:rsidRPr="0034148C" w:rsidRDefault="003D3F0C" w:rsidP="008D113E">
      <w:r w:rsidRPr="0034148C">
        <w:t xml:space="preserve">As for the training provided in advance to the second round of the grants competition, although some </w:t>
      </w:r>
      <w:r w:rsidR="008D113E" w:rsidRPr="0034148C">
        <w:t>organizations</w:t>
      </w:r>
      <w:r w:rsidRPr="0034148C">
        <w:t xml:space="preserve"> had already received training in this area, six out of 13 </w:t>
      </w:r>
      <w:r w:rsidR="008D113E" w:rsidRPr="0034148C">
        <w:t>organizations</w:t>
      </w:r>
      <w:r w:rsidRPr="0034148C">
        <w:t xml:space="preserve"> who returned completed evaluation forms, stated that they have used the training to develop proposals. A number of respondents focused particularly on the usefulness of learning how to structure the logic of an intervention. </w:t>
      </w:r>
      <w:proofErr w:type="gramStart"/>
      <w:r w:rsidRPr="0034148C">
        <w:t xml:space="preserve">Other </w:t>
      </w:r>
      <w:r w:rsidR="00155314" w:rsidRPr="0034148C">
        <w:t>learning</w:t>
      </w:r>
      <w:r w:rsidRPr="0034148C">
        <w:t xml:space="preserve"> that respondents highlighted include: networking opportunities, the need to involve beneficiaries in the proposal development process, </w:t>
      </w:r>
      <w:r w:rsidR="000571C8" w:rsidRPr="0034148C">
        <w:t xml:space="preserve">and </w:t>
      </w:r>
      <w:r w:rsidRPr="0034148C">
        <w:t>budgeting.</w:t>
      </w:r>
      <w:proofErr w:type="gramEnd"/>
      <w:r w:rsidRPr="0034148C">
        <w:t xml:space="preserve"> That said, when this evaluator reviewed the project proposals for the sample of successful applicants included in this evaluation, there appeared to </w:t>
      </w:r>
      <w:r w:rsidR="000571C8" w:rsidRPr="0034148C">
        <w:t xml:space="preserve">be </w:t>
      </w:r>
      <w:r w:rsidRPr="0034148C">
        <w:t xml:space="preserve">considerable conflation of project goals, objectives and activities, suggesting that some </w:t>
      </w:r>
      <w:r w:rsidR="008D113E" w:rsidRPr="0034148C">
        <w:t>organization</w:t>
      </w:r>
      <w:r w:rsidR="000571C8" w:rsidRPr="0034148C">
        <w:t>s</w:t>
      </w:r>
      <w:r w:rsidRPr="0034148C">
        <w:t xml:space="preserve"> may need further training or mentoring in this area.</w:t>
      </w:r>
    </w:p>
    <w:p w:rsidR="003D3F0C" w:rsidRPr="0034148C" w:rsidRDefault="003D3F0C" w:rsidP="008D113E">
      <w:r w:rsidRPr="0034148C">
        <w:t xml:space="preserve">Only one </w:t>
      </w:r>
      <w:r w:rsidR="008D113E" w:rsidRPr="0034148C">
        <w:t>organization</w:t>
      </w:r>
      <w:r w:rsidRPr="0034148C">
        <w:t xml:space="preserve"> reported that the workshop had been useful in providing information about advocacy and lobbying. Given that SIIMS specifically sought advocacy proposals in the second round of grants, it might have been useful to include a greater component in the training on this issue.</w:t>
      </w:r>
    </w:p>
    <w:p w:rsidR="003D3F0C" w:rsidRPr="0034148C" w:rsidRDefault="003D3F0C" w:rsidP="008D113E">
      <w:r w:rsidRPr="0034148C">
        <w:t>When asked whether, and how, actually implementing the SIIMS grants had contributed to the capacity of their organization, staff in each CSO reported that SIIMS had strengthened them in some way.</w:t>
      </w:r>
      <w:r w:rsidR="000571C8" w:rsidRPr="0034148C">
        <w:t xml:space="preserve"> </w:t>
      </w:r>
      <w:r w:rsidRPr="0034148C">
        <w:t xml:space="preserve">Most CSOs highlighted the on-going interaction with CARE and/or CiDA as being a particularly important learning experience. In particular, this interaction had strengthened skills in financial reporting and management, making them more rigorous. This may be especially important for “younger” </w:t>
      </w:r>
      <w:proofErr w:type="gramStart"/>
      <w:r w:rsidRPr="0034148C">
        <w:t>organizations which</w:t>
      </w:r>
      <w:proofErr w:type="gramEnd"/>
      <w:r w:rsidRPr="0034148C">
        <w:t xml:space="preserve"> may not have access to many targeted trainings in this areas. A number of organizations reported that this had made them better prepared for working with new funders. Some also highlighted that this on-going contact had taught them how to communicate better with donors. </w:t>
      </w:r>
    </w:p>
    <w:p w:rsidR="003D3F0C" w:rsidRPr="0034148C" w:rsidRDefault="003D3F0C" w:rsidP="008D113E">
      <w:r w:rsidRPr="0034148C">
        <w:t xml:space="preserve">Connecting the organization to a new beneficiary group </w:t>
      </w:r>
      <w:proofErr w:type="gramStart"/>
      <w:r w:rsidRPr="0034148C">
        <w:t>was also highlighted</w:t>
      </w:r>
      <w:proofErr w:type="gramEnd"/>
      <w:r w:rsidRPr="0034148C">
        <w:t xml:space="preserve"> by several CSOs as being an important benefit of SIIMS. Several organizations had not worked with IDPs before and are now expanding their work in this area. For others it was their first chance to work with young people, and therefore a chance to learn how to adapt approaches to the needs and interests of this group. </w:t>
      </w:r>
    </w:p>
    <w:p w:rsidR="003D3F0C" w:rsidRPr="0034148C" w:rsidRDefault="003D3F0C" w:rsidP="008D113E">
      <w:r w:rsidRPr="0034148C">
        <w:t xml:space="preserve">Others reported that having implemented a project with/for CARE and CiDA “looked good on their CV”, lending them greater credibility in their future fund-raising efforts, thereby contributing to their financial sustainability. In the case of Indigo, for example, the SIIMS grant was its first </w:t>
      </w:r>
      <w:proofErr w:type="gramStart"/>
      <w:r w:rsidRPr="0034148C">
        <w:t>grant which</w:t>
      </w:r>
      <w:proofErr w:type="gramEnd"/>
      <w:r w:rsidRPr="0034148C">
        <w:t xml:space="preserve"> turned into a platform for securing a bigger grant from USAID to provide further health-related services in Kvemo Kartli.</w:t>
      </w:r>
    </w:p>
    <w:p w:rsidR="003D3F0C" w:rsidRPr="0034148C" w:rsidRDefault="003D3F0C" w:rsidP="008D113E">
      <w:r w:rsidRPr="0034148C">
        <w:t>Finally, a number of organizations reported that the SIIMS grant had allowed them to purchase essential equipment such as computers and mobile internet devices, which support all areas of their work.</w:t>
      </w:r>
    </w:p>
    <w:p w:rsidR="003D3F0C" w:rsidRPr="0034148C" w:rsidRDefault="003D3F0C" w:rsidP="008D113E">
      <w:pPr>
        <w:rPr>
          <w:b/>
        </w:rPr>
      </w:pPr>
      <w:r w:rsidRPr="0034148C">
        <w:lastRenderedPageBreak/>
        <w:t xml:space="preserve">In the case of the 13 organizations who were awarded </w:t>
      </w:r>
      <w:proofErr w:type="gramStart"/>
      <w:r w:rsidRPr="0034148C">
        <w:t>grants</w:t>
      </w:r>
      <w:proofErr w:type="gramEnd"/>
      <w:r w:rsidRPr="0034148C">
        <w:t xml:space="preserve"> it is possible to conclude that SIIMS made a contribution towards improving their capacity to deliver services. For other </w:t>
      </w:r>
      <w:proofErr w:type="gramStart"/>
      <w:r w:rsidRPr="0034148C">
        <w:t>CSOs</w:t>
      </w:r>
      <w:proofErr w:type="gramEnd"/>
      <w:r w:rsidRPr="0034148C">
        <w:t xml:space="preserve"> the capacity building impact of SIIMS is limited to the trainings they attended. These trainings appear to have contributed to the knowledge and skills set of the participants, at least to a moderate extent, as evidenced by the fact that some participants are applying the trainings in their work.</w:t>
      </w:r>
      <w:r w:rsidRPr="0034148C">
        <w:rPr>
          <w:b/>
        </w:rPr>
        <w:t xml:space="preserve"> </w:t>
      </w:r>
    </w:p>
    <w:p w:rsidR="008D113E" w:rsidRPr="0034148C" w:rsidRDefault="008D113E" w:rsidP="008D113E">
      <w:pPr>
        <w:pStyle w:val="Heading2"/>
      </w:pPr>
      <w:bookmarkStart w:id="273" w:name="_Toc338717159"/>
      <w:bookmarkStart w:id="274" w:name="_Toc338750191"/>
      <w:bookmarkStart w:id="275" w:name="_Toc339368784"/>
      <w:r w:rsidRPr="0034148C">
        <w:t>6.4 Sustainability</w:t>
      </w:r>
      <w:bookmarkEnd w:id="273"/>
      <w:bookmarkEnd w:id="274"/>
      <w:bookmarkEnd w:id="275"/>
    </w:p>
    <w:p w:rsidR="003D3F0C" w:rsidRPr="0034148C" w:rsidRDefault="003D3F0C" w:rsidP="000571C8">
      <w:r w:rsidRPr="0034148C">
        <w:t xml:space="preserve">Besides assessing the specific contributions made by SIIMS to </w:t>
      </w:r>
      <w:proofErr w:type="gramStart"/>
      <w:r w:rsidRPr="0034148C">
        <w:t>improving</w:t>
      </w:r>
      <w:proofErr w:type="gramEnd"/>
      <w:r w:rsidRPr="0034148C">
        <w:t xml:space="preserve"> the capacity of CSOs to deliver social services, this </w:t>
      </w:r>
      <w:r w:rsidR="000571C8" w:rsidRPr="0034148C">
        <w:t xml:space="preserve">evaluation </w:t>
      </w:r>
      <w:r w:rsidRPr="0034148C">
        <w:t xml:space="preserve">also considers the extent to which the CSOs are, in general, displaying </w:t>
      </w:r>
      <w:r w:rsidR="000571C8" w:rsidRPr="0034148C">
        <w:t>behaviors</w:t>
      </w:r>
      <w:r w:rsidRPr="0034148C">
        <w:t xml:space="preserve"> that would support their sustainability. In answering this question, the assessment took inspiration from the USAID </w:t>
      </w:r>
      <w:r w:rsidRPr="0034148C">
        <w:rPr>
          <w:i/>
          <w:iCs/>
        </w:rPr>
        <w:t>NGO Sustainability Index</w:t>
      </w:r>
      <w:r w:rsidRPr="0034148C">
        <w:t xml:space="preserve"> </w:t>
      </w:r>
      <w:r w:rsidR="000571C8" w:rsidRPr="0034148C">
        <w:t xml:space="preserve">(USAID, 2010) </w:t>
      </w:r>
      <w:r w:rsidRPr="0034148C">
        <w:t>and developed an instrument to assess the sustainability of the sample CSOs in a number of domains considered important by th</w:t>
      </w:r>
      <w:r w:rsidR="000571C8" w:rsidRPr="0034148C">
        <w:t xml:space="preserve">is </w:t>
      </w:r>
      <w:r w:rsidRPr="0034148C">
        <w:t>Index.</w:t>
      </w:r>
    </w:p>
    <w:p w:rsidR="003D3F0C" w:rsidRPr="0034148C" w:rsidRDefault="003D3F0C" w:rsidP="000571C8">
      <w:r w:rsidRPr="0034148C">
        <w:t xml:space="preserve">The </w:t>
      </w:r>
      <w:r w:rsidRPr="0034148C">
        <w:rPr>
          <w:i/>
          <w:iCs/>
        </w:rPr>
        <w:t>NGO Sustainability Index</w:t>
      </w:r>
      <w:r w:rsidRPr="0034148C">
        <w:t xml:space="preserve"> for 2010 paints a cautiously optimistic picture of the way in which the Georgian NGO sector is moving towards sustaina</w:t>
      </w:r>
      <w:r w:rsidR="00675A01" w:rsidRPr="0034148C">
        <w:t>bility in a number of domains. With</w:t>
      </w:r>
      <w:r w:rsidRPr="0034148C">
        <w:t xml:space="preserve"> respect </w:t>
      </w:r>
      <w:r w:rsidR="00675A01" w:rsidRPr="0034148C">
        <w:t>to</w:t>
      </w:r>
      <w:r w:rsidRPr="0034148C">
        <w:t xml:space="preserve"> the Organizational Capacity domain, the Index notes that many NGO are still unable to sustain professional staff. As a result, NGO leaders have to act in multiple capacities, limiting the operational capacity of their organization. On a positive note, however, this has led to a larger effort to recruit unpaid intern</w:t>
      </w:r>
      <w:r w:rsidR="00675A01" w:rsidRPr="0034148C">
        <w:t>s</w:t>
      </w:r>
      <w:r w:rsidRPr="0034148C">
        <w:t>, which creates opportunities for young people to gain relevant professional experience and helps promote a culture of volunteerism amongst young people.</w:t>
      </w:r>
    </w:p>
    <w:p w:rsidR="003D3F0C" w:rsidRPr="0034148C" w:rsidRDefault="003D3F0C" w:rsidP="000571C8">
      <w:r w:rsidRPr="0034148C">
        <w:t xml:space="preserve">In relation to the Financial Viability domain, the Index notes that local funding sources for NGOs have increased. The government is awarding more contracts to NGOs, and more NGOs are deriving some income from membership fees, donations and economic activities. That said, fewer than 10% of NGOs enjoy a relative diversification of revenues, with most still heavily reliant on a few international donors. The Index also notes that in the Advocacy domain, cooperation between NGOs and the government improved on all levels. </w:t>
      </w:r>
      <w:proofErr w:type="gramStart"/>
      <w:r w:rsidRPr="0034148C">
        <w:t>Direct communication with local government, in particular, is moving forwards and is now better than with central government.</w:t>
      </w:r>
      <w:proofErr w:type="gramEnd"/>
    </w:p>
    <w:p w:rsidR="003D3F0C" w:rsidRPr="0034148C" w:rsidRDefault="00675A01" w:rsidP="000571C8">
      <w:r w:rsidRPr="0034148C">
        <w:t>With</w:t>
      </w:r>
      <w:r w:rsidR="003D3F0C" w:rsidRPr="0034148C">
        <w:t xml:space="preserve"> respect </w:t>
      </w:r>
      <w:r w:rsidRPr="0034148C">
        <w:t>to</w:t>
      </w:r>
      <w:r w:rsidR="003D3F0C" w:rsidRPr="0034148C">
        <w:t xml:space="preserve"> the Service Provision domain, the Index notes that the general appraisal of services provided by NGOs is positive. However, the Index notes some negative developments in the Infrastructure domain, particularly in relation to a reduction in local training opportunities for </w:t>
      </w:r>
      <w:proofErr w:type="gramStart"/>
      <w:r w:rsidR="003D3F0C" w:rsidRPr="0034148C">
        <w:t>NGOs which</w:t>
      </w:r>
      <w:proofErr w:type="gramEnd"/>
      <w:r w:rsidR="003D3F0C" w:rsidRPr="0034148C">
        <w:t xml:space="preserve"> impacts particularly on new and developing NGOs who find it difficult to comply with advanced standards of management and reporting required by many international donors.</w:t>
      </w:r>
    </w:p>
    <w:p w:rsidR="003D3F0C" w:rsidRPr="0034148C" w:rsidRDefault="003D3F0C" w:rsidP="000571C8">
      <w:r w:rsidRPr="0034148C">
        <w:t xml:space="preserve">Finally, the Index notes that there have been some positive developments within the Public Image domain. The public image of NGOs appears to have stabilized slightly with people slightly less likely to see NGOs as belonging to one political side or another. NGO leaders have increased </w:t>
      </w:r>
      <w:r w:rsidRPr="0034148C">
        <w:lastRenderedPageBreak/>
        <w:t>their appearances and commentaries in the electronic media. However, overall society still has no clear understanding of NGOs’ roles and work.</w:t>
      </w:r>
    </w:p>
    <w:p w:rsidR="00B4740F" w:rsidRPr="0034148C" w:rsidRDefault="00E036E1" w:rsidP="00B4740F">
      <w:r>
        <w:t xml:space="preserve">The scores for the sample </w:t>
      </w:r>
      <w:proofErr w:type="gramStart"/>
      <w:r>
        <w:t>are shown</w:t>
      </w:r>
      <w:proofErr w:type="gramEnd"/>
      <w:r w:rsidRPr="00E036E1">
        <w:t xml:space="preserve"> </w:t>
      </w:r>
      <w:r w:rsidRPr="0034148C">
        <w:t>in Table 6.2</w:t>
      </w:r>
      <w:r>
        <w:t xml:space="preserve">. </w:t>
      </w:r>
      <w:r w:rsidRPr="0034148C">
        <w:t xml:space="preserve">A score of </w:t>
      </w:r>
      <w:proofErr w:type="gramStart"/>
      <w:r w:rsidRPr="0034148C">
        <w:t>1</w:t>
      </w:r>
      <w:proofErr w:type="gramEnd"/>
      <w:r w:rsidRPr="0034148C">
        <w:t xml:space="preserve"> indicates that the organization is in the early stages of transition towards sustainability in this domain. A score of </w:t>
      </w:r>
      <w:proofErr w:type="gramStart"/>
      <w:r w:rsidRPr="0034148C">
        <w:t>2</w:t>
      </w:r>
      <w:proofErr w:type="gramEnd"/>
      <w:r w:rsidRPr="0034148C">
        <w:t xml:space="preserve"> indicates that the organization is in mid transition towards sustainability. A score of </w:t>
      </w:r>
      <w:proofErr w:type="gramStart"/>
      <w:r w:rsidRPr="0034148C">
        <w:t>3</w:t>
      </w:r>
      <w:proofErr w:type="gramEnd"/>
      <w:r w:rsidRPr="0034148C">
        <w:t xml:space="preserve"> indicates that it is consolidating its position. </w:t>
      </w:r>
      <w:r>
        <w:t>T</w:t>
      </w:r>
      <w:r w:rsidR="003D3F0C" w:rsidRPr="0034148C">
        <w:t>he capacity assessment of the sample of CSOs supported by SIIMS very much reflects the findings reported by the NGO Sustainability Index. The analysis on which th</w:t>
      </w:r>
      <w:r w:rsidR="00675A01" w:rsidRPr="0034148C">
        <w:t xml:space="preserve">is </w:t>
      </w:r>
      <w:r w:rsidR="003D3F0C" w:rsidRPr="0034148C">
        <w:t>table</w:t>
      </w:r>
      <w:r w:rsidR="00675A01" w:rsidRPr="0034148C">
        <w:t xml:space="preserve"> </w:t>
      </w:r>
      <w:proofErr w:type="gramStart"/>
      <w:r w:rsidR="00675A01" w:rsidRPr="0034148C">
        <w:t>is</w:t>
      </w:r>
      <w:r w:rsidR="003D3F0C" w:rsidRPr="0034148C">
        <w:t xml:space="preserve"> based</w:t>
      </w:r>
      <w:proofErr w:type="gramEnd"/>
      <w:r w:rsidR="003D3F0C" w:rsidRPr="0034148C">
        <w:t xml:space="preserve"> can be found in</w:t>
      </w:r>
      <w:r w:rsidR="00675A01" w:rsidRPr="0034148C">
        <w:t xml:space="preserve"> the full Support to CSOs evaluation report</w:t>
      </w:r>
      <w:r w:rsidR="007C0FD1">
        <w:t xml:space="preserve"> (Just, 2012)</w:t>
      </w:r>
      <w:r w:rsidR="003D3F0C" w:rsidRPr="0034148C">
        <w:t>.</w:t>
      </w:r>
      <w:r w:rsidR="00B4740F" w:rsidRPr="0034148C">
        <w:t xml:space="preserve"> From these tables it is evident that most of the CSOs in the sample score quite well in terms Infrastructure &amp; Networks and Public Image. Scores vary considerably in the other domains, although Service Provision scores appear consistently lower than the other domains. </w:t>
      </w:r>
    </w:p>
    <w:p w:rsidR="00B4740F" w:rsidRPr="0034148C" w:rsidRDefault="00B4740F" w:rsidP="00B4740F">
      <w:pPr>
        <w:pStyle w:val="Heading4"/>
      </w:pPr>
      <w:bookmarkStart w:id="276" w:name="_Toc338717203"/>
      <w:bookmarkStart w:id="277" w:name="_Toc338750275"/>
      <w:bookmarkStart w:id="278" w:name="_Toc339368886"/>
      <w:r w:rsidRPr="0034148C">
        <w:t xml:space="preserve">Table 6.2: </w:t>
      </w:r>
      <w:r w:rsidR="002A2635" w:rsidRPr="0034148C">
        <w:t>Capacity scores by domain for a sample of CSO organizations</w:t>
      </w:r>
      <w:bookmarkEnd w:id="276"/>
      <w:bookmarkEnd w:id="277"/>
      <w:bookmarkEnd w:id="278"/>
      <w:r w:rsidR="002A2635" w:rsidRPr="0034148C">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651"/>
        <w:gridCol w:w="1604"/>
        <w:gridCol w:w="1275"/>
        <w:gridCol w:w="743"/>
        <w:gridCol w:w="1782"/>
        <w:gridCol w:w="883"/>
      </w:tblGrid>
      <w:tr w:rsidR="002A2635" w:rsidRPr="0034148C" w:rsidTr="002A2635">
        <w:trPr>
          <w:trHeight w:val="1164"/>
        </w:trPr>
        <w:tc>
          <w:tcPr>
            <w:tcW w:w="0" w:type="auto"/>
            <w:shd w:val="clear" w:color="auto" w:fill="auto"/>
            <w:noWrap/>
            <w:vAlign w:val="bottom"/>
            <w:hideMark/>
          </w:tcPr>
          <w:p w:rsidR="002A2635" w:rsidRPr="007C0FD1" w:rsidRDefault="002A2635" w:rsidP="002A2635">
            <w:pPr>
              <w:spacing w:after="0" w:line="240" w:lineRule="auto"/>
              <w:jc w:val="left"/>
              <w:rPr>
                <w:rFonts w:ascii="Calibri" w:eastAsia="Times New Roman" w:hAnsi="Calibri" w:cs="Calibri"/>
                <w:color w:val="000000"/>
                <w:sz w:val="20"/>
                <w:szCs w:val="20"/>
                <w:lang w:bidi="th-TH"/>
              </w:rPr>
            </w:pP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b/>
                <w:bCs/>
                <w:color w:val="000000"/>
                <w:sz w:val="20"/>
                <w:szCs w:val="20"/>
                <w:lang w:bidi="th-TH"/>
              </w:rPr>
            </w:pPr>
            <w:r w:rsidRPr="007C0FD1">
              <w:rPr>
                <w:rFonts w:ascii="Calibri" w:eastAsia="Times New Roman" w:hAnsi="Calibri" w:cs="Calibri"/>
                <w:b/>
                <w:bCs/>
                <w:color w:val="000000"/>
                <w:sz w:val="20"/>
                <w:szCs w:val="20"/>
                <w:lang w:bidi="th-TH"/>
              </w:rPr>
              <w:t>Association Women and Development</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b/>
                <w:bCs/>
                <w:color w:val="000000"/>
                <w:sz w:val="20"/>
                <w:szCs w:val="20"/>
                <w:lang w:bidi="th-TH"/>
              </w:rPr>
            </w:pPr>
            <w:r w:rsidRPr="007C0FD1">
              <w:rPr>
                <w:rFonts w:ascii="Calibri" w:eastAsia="Times New Roman" w:hAnsi="Calibri" w:cs="Calibri"/>
                <w:b/>
                <w:bCs/>
                <w:color w:val="000000"/>
                <w:sz w:val="20"/>
                <w:szCs w:val="20"/>
                <w:lang w:bidi="th-TH"/>
              </w:rPr>
              <w:t>Democratic Development Institute</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b/>
                <w:bCs/>
                <w:color w:val="000000"/>
                <w:sz w:val="20"/>
                <w:szCs w:val="20"/>
                <w:lang w:bidi="th-TH"/>
              </w:rPr>
            </w:pPr>
            <w:r w:rsidRPr="007C0FD1">
              <w:rPr>
                <w:rFonts w:ascii="Calibri" w:eastAsia="Times New Roman" w:hAnsi="Calibri" w:cs="Calibri"/>
                <w:b/>
                <w:bCs/>
                <w:color w:val="000000"/>
                <w:sz w:val="20"/>
                <w:szCs w:val="20"/>
                <w:lang w:bidi="th-TH"/>
              </w:rPr>
              <w:t>Friendship Bridge Kartlosi</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b/>
                <w:bCs/>
                <w:color w:val="000000"/>
                <w:sz w:val="20"/>
                <w:szCs w:val="20"/>
                <w:lang w:bidi="th-TH"/>
              </w:rPr>
            </w:pPr>
            <w:r w:rsidRPr="007C0FD1">
              <w:rPr>
                <w:rFonts w:ascii="Calibri" w:eastAsia="Times New Roman" w:hAnsi="Calibri" w:cs="Calibri"/>
                <w:b/>
                <w:bCs/>
                <w:color w:val="000000"/>
                <w:sz w:val="20"/>
                <w:szCs w:val="20"/>
                <w:lang w:bidi="th-TH"/>
              </w:rPr>
              <w:t xml:space="preserve"> Indigo</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b/>
                <w:bCs/>
                <w:color w:val="000000"/>
                <w:sz w:val="20"/>
                <w:szCs w:val="20"/>
                <w:lang w:bidi="th-TH"/>
              </w:rPr>
            </w:pPr>
            <w:r w:rsidRPr="007C0FD1">
              <w:rPr>
                <w:rFonts w:ascii="Calibri" w:eastAsia="Times New Roman" w:hAnsi="Calibri" w:cs="Calibri"/>
                <w:b/>
                <w:bCs/>
                <w:color w:val="000000"/>
                <w:sz w:val="20"/>
                <w:szCs w:val="20"/>
                <w:lang w:bidi="th-TH"/>
              </w:rPr>
              <w:t>Institute for Regional Development – Shida Kartli</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b/>
                <w:bCs/>
                <w:color w:val="000000"/>
                <w:sz w:val="20"/>
                <w:szCs w:val="20"/>
                <w:lang w:bidi="th-TH"/>
              </w:rPr>
            </w:pPr>
            <w:r w:rsidRPr="007C0FD1">
              <w:rPr>
                <w:rFonts w:ascii="Calibri" w:eastAsia="Times New Roman" w:hAnsi="Calibri" w:cs="Calibri"/>
                <w:b/>
                <w:bCs/>
                <w:color w:val="000000"/>
                <w:sz w:val="20"/>
                <w:szCs w:val="20"/>
                <w:lang w:bidi="th-TH"/>
              </w:rPr>
              <w:t>Society Biliki</w:t>
            </w:r>
          </w:p>
        </w:tc>
      </w:tr>
      <w:tr w:rsidR="002A2635" w:rsidRPr="0034148C" w:rsidTr="002A2635">
        <w:trPr>
          <w:trHeight w:val="408"/>
        </w:trPr>
        <w:tc>
          <w:tcPr>
            <w:tcW w:w="0" w:type="auto"/>
            <w:shd w:val="clear" w:color="auto" w:fill="auto"/>
            <w:hideMark/>
          </w:tcPr>
          <w:p w:rsidR="002A2635" w:rsidRPr="007C0FD1" w:rsidRDefault="002A2635" w:rsidP="002A2635">
            <w:pPr>
              <w:spacing w:after="0" w:line="240" w:lineRule="auto"/>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Organizational Capacity</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2.25</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1.25</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w:t>
            </w:r>
            <w:r w:rsidR="007C0FD1">
              <w:rPr>
                <w:rFonts w:ascii="Calibri" w:eastAsia="Times New Roman" w:hAnsi="Calibri" w:cs="Calibri"/>
                <w:color w:val="000000"/>
                <w:sz w:val="20"/>
                <w:szCs w:val="20"/>
                <w:lang w:bidi="th-TH"/>
              </w:rPr>
              <w:t>.00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1.5</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1.75</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2.5</w:t>
            </w:r>
            <w:r w:rsidR="007C0FD1">
              <w:rPr>
                <w:rFonts w:ascii="Calibri" w:eastAsia="Times New Roman" w:hAnsi="Calibri" w:cs="Calibri"/>
                <w:color w:val="000000"/>
                <w:sz w:val="20"/>
                <w:szCs w:val="20"/>
                <w:lang w:bidi="th-TH"/>
              </w:rPr>
              <w:t>0</w:t>
            </w:r>
          </w:p>
        </w:tc>
      </w:tr>
      <w:tr w:rsidR="002A2635" w:rsidRPr="0034148C" w:rsidTr="002A2635">
        <w:trPr>
          <w:trHeight w:val="312"/>
        </w:trPr>
        <w:tc>
          <w:tcPr>
            <w:tcW w:w="0" w:type="auto"/>
            <w:shd w:val="clear" w:color="auto" w:fill="auto"/>
            <w:hideMark/>
          </w:tcPr>
          <w:p w:rsidR="002A2635" w:rsidRPr="007C0FD1" w:rsidRDefault="002A2635" w:rsidP="002A2635">
            <w:pPr>
              <w:spacing w:after="0" w:line="240" w:lineRule="auto"/>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Financial Viability</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2.3</w:t>
            </w:r>
            <w:r w:rsidR="007C0FD1" w:rsidRP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w:t>
            </w:r>
            <w:r w:rsidR="007C0FD1" w:rsidRPr="007C0FD1">
              <w:rPr>
                <w:rFonts w:ascii="Calibri" w:eastAsia="Times New Roman" w:hAnsi="Calibri" w:cs="Calibri"/>
                <w:color w:val="000000"/>
                <w:sz w:val="20"/>
                <w:szCs w:val="20"/>
                <w:lang w:bidi="th-TH"/>
              </w:rPr>
              <w:t>.00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1.3</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1.6</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w:t>
            </w:r>
            <w:r w:rsidR="007C0FD1">
              <w:rPr>
                <w:rFonts w:ascii="Calibri" w:eastAsia="Times New Roman" w:hAnsi="Calibri" w:cs="Calibri"/>
                <w:color w:val="000000"/>
                <w:sz w:val="20"/>
                <w:szCs w:val="20"/>
                <w:lang w:bidi="th-TH"/>
              </w:rPr>
              <w:t>.00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2.3</w:t>
            </w:r>
            <w:r w:rsidR="007C0FD1">
              <w:rPr>
                <w:rFonts w:ascii="Calibri" w:eastAsia="Times New Roman" w:hAnsi="Calibri" w:cs="Calibri"/>
                <w:color w:val="000000"/>
                <w:sz w:val="20"/>
                <w:szCs w:val="20"/>
                <w:lang w:bidi="th-TH"/>
              </w:rPr>
              <w:t>0</w:t>
            </w:r>
          </w:p>
        </w:tc>
      </w:tr>
      <w:tr w:rsidR="002A2635" w:rsidRPr="0034148C" w:rsidTr="002A2635">
        <w:trPr>
          <w:trHeight w:val="300"/>
        </w:trPr>
        <w:tc>
          <w:tcPr>
            <w:tcW w:w="0" w:type="auto"/>
            <w:shd w:val="clear" w:color="auto" w:fill="auto"/>
            <w:hideMark/>
          </w:tcPr>
          <w:p w:rsidR="002A2635" w:rsidRPr="007C0FD1" w:rsidRDefault="002A2635" w:rsidP="002A2635">
            <w:pPr>
              <w:spacing w:after="0" w:line="240" w:lineRule="auto"/>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Advocacy</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2.3</w:t>
            </w:r>
            <w:r w:rsidR="007C0FD1" w:rsidRP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w:t>
            </w:r>
            <w:r w:rsidR="007C0FD1" w:rsidRPr="007C0FD1">
              <w:rPr>
                <w:rFonts w:ascii="Calibri" w:eastAsia="Times New Roman" w:hAnsi="Calibri" w:cs="Calibri"/>
                <w:color w:val="000000"/>
                <w:sz w:val="20"/>
                <w:szCs w:val="20"/>
                <w:lang w:bidi="th-TH"/>
              </w:rPr>
              <w:t>.00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2.3</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1.6</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w:t>
            </w:r>
            <w:r w:rsidR="007C0FD1">
              <w:rPr>
                <w:rFonts w:ascii="Calibri" w:eastAsia="Times New Roman" w:hAnsi="Calibri" w:cs="Calibri"/>
                <w:color w:val="000000"/>
                <w:sz w:val="20"/>
                <w:szCs w:val="20"/>
                <w:lang w:bidi="th-TH"/>
              </w:rPr>
              <w:t>.00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w:t>
            </w:r>
            <w:r w:rsidR="007C0FD1">
              <w:rPr>
                <w:rFonts w:ascii="Calibri" w:eastAsia="Times New Roman" w:hAnsi="Calibri" w:cs="Calibri"/>
                <w:color w:val="000000"/>
                <w:sz w:val="20"/>
                <w:szCs w:val="20"/>
                <w:lang w:bidi="th-TH"/>
              </w:rPr>
              <w:t>.00</w:t>
            </w:r>
          </w:p>
        </w:tc>
      </w:tr>
      <w:tr w:rsidR="002A2635" w:rsidRPr="0034148C" w:rsidTr="002A2635">
        <w:trPr>
          <w:trHeight w:val="408"/>
        </w:trPr>
        <w:tc>
          <w:tcPr>
            <w:tcW w:w="0" w:type="auto"/>
            <w:shd w:val="clear" w:color="auto" w:fill="auto"/>
            <w:hideMark/>
          </w:tcPr>
          <w:p w:rsidR="002A2635" w:rsidRPr="007C0FD1" w:rsidRDefault="002A2635" w:rsidP="002A2635">
            <w:pPr>
              <w:spacing w:after="0" w:line="240" w:lineRule="auto"/>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Service Provision</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1.4</w:t>
            </w:r>
            <w:r w:rsidR="007C0FD1" w:rsidRP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1.8</w:t>
            </w:r>
            <w:r w:rsidR="007C0FD1" w:rsidRP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1.6</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1.8</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2.2</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w:t>
            </w:r>
            <w:r w:rsidR="007C0FD1">
              <w:rPr>
                <w:rFonts w:ascii="Calibri" w:eastAsia="Times New Roman" w:hAnsi="Calibri" w:cs="Calibri"/>
                <w:color w:val="000000"/>
                <w:sz w:val="20"/>
                <w:szCs w:val="20"/>
                <w:lang w:bidi="th-TH"/>
              </w:rPr>
              <w:t>.00</w:t>
            </w:r>
          </w:p>
        </w:tc>
      </w:tr>
      <w:tr w:rsidR="002A2635" w:rsidRPr="0034148C" w:rsidTr="002A2635">
        <w:trPr>
          <w:trHeight w:val="468"/>
        </w:trPr>
        <w:tc>
          <w:tcPr>
            <w:tcW w:w="0" w:type="auto"/>
            <w:shd w:val="clear" w:color="auto" w:fill="auto"/>
            <w:hideMark/>
          </w:tcPr>
          <w:p w:rsidR="002A2635" w:rsidRPr="007C0FD1" w:rsidRDefault="002A2635" w:rsidP="002A2635">
            <w:pPr>
              <w:spacing w:after="0" w:line="240" w:lineRule="auto"/>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Infrastructure &amp; Networks</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2.5</w:t>
            </w:r>
            <w:r w:rsidR="007C0FD1" w:rsidRP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2.5</w:t>
            </w:r>
            <w:r w:rsidR="007C0FD1" w:rsidRP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2.5</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2.5</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2.5</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2.5</w:t>
            </w:r>
            <w:r w:rsidR="007C0FD1">
              <w:rPr>
                <w:rFonts w:ascii="Calibri" w:eastAsia="Times New Roman" w:hAnsi="Calibri" w:cs="Calibri"/>
                <w:color w:val="000000"/>
                <w:sz w:val="20"/>
                <w:szCs w:val="20"/>
                <w:lang w:bidi="th-TH"/>
              </w:rPr>
              <w:t>0</w:t>
            </w:r>
          </w:p>
        </w:tc>
      </w:tr>
      <w:tr w:rsidR="002A2635" w:rsidRPr="0034148C" w:rsidTr="002A2635">
        <w:trPr>
          <w:trHeight w:val="408"/>
        </w:trPr>
        <w:tc>
          <w:tcPr>
            <w:tcW w:w="0" w:type="auto"/>
            <w:shd w:val="clear" w:color="auto" w:fill="auto"/>
            <w:hideMark/>
          </w:tcPr>
          <w:p w:rsidR="002A2635" w:rsidRPr="007C0FD1" w:rsidRDefault="002A2635" w:rsidP="002A2635">
            <w:pPr>
              <w:spacing w:after="0" w:line="240" w:lineRule="auto"/>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Public Image</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2.6</w:t>
            </w:r>
            <w:r w:rsidR="007C0FD1" w:rsidRP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2.6</w:t>
            </w:r>
            <w:r w:rsidR="007C0FD1" w:rsidRP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w:t>
            </w:r>
            <w:r w:rsidR="007C0FD1">
              <w:rPr>
                <w:rFonts w:ascii="Calibri" w:eastAsia="Times New Roman" w:hAnsi="Calibri" w:cs="Calibri"/>
                <w:color w:val="000000"/>
                <w:sz w:val="20"/>
                <w:szCs w:val="20"/>
                <w:lang w:bidi="th-TH"/>
              </w:rPr>
              <w:t>.00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2.5</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2.6</w:t>
            </w:r>
            <w:r w:rsidR="007C0FD1">
              <w:rPr>
                <w:rFonts w:ascii="Calibri" w:eastAsia="Times New Roman" w:hAnsi="Calibri" w:cs="Calibri"/>
                <w:color w:val="000000"/>
                <w:sz w:val="20"/>
                <w:szCs w:val="20"/>
                <w:lang w:bidi="th-TH"/>
              </w:rPr>
              <w:t>0</w:t>
            </w:r>
          </w:p>
        </w:tc>
        <w:tc>
          <w:tcPr>
            <w:tcW w:w="0" w:type="auto"/>
            <w:shd w:val="clear" w:color="auto" w:fill="auto"/>
            <w:hideMark/>
          </w:tcPr>
          <w:p w:rsidR="002A2635" w:rsidRPr="007C0FD1" w:rsidRDefault="002A2635" w:rsidP="002A2635">
            <w:pPr>
              <w:spacing w:after="0" w:line="240" w:lineRule="auto"/>
              <w:jc w:val="center"/>
              <w:rPr>
                <w:rFonts w:ascii="Calibri" w:eastAsia="Times New Roman" w:hAnsi="Calibri" w:cs="Calibri"/>
                <w:color w:val="000000"/>
                <w:sz w:val="20"/>
                <w:szCs w:val="20"/>
                <w:lang w:bidi="th-TH"/>
              </w:rPr>
            </w:pPr>
            <w:r w:rsidRPr="007C0FD1">
              <w:rPr>
                <w:rFonts w:ascii="Calibri" w:eastAsia="Times New Roman" w:hAnsi="Calibri" w:cs="Calibri"/>
                <w:color w:val="000000"/>
                <w:sz w:val="20"/>
                <w:szCs w:val="20"/>
                <w:lang w:bidi="th-TH"/>
              </w:rPr>
              <w:t>2.6</w:t>
            </w:r>
            <w:r w:rsidR="007C0FD1">
              <w:rPr>
                <w:rFonts w:ascii="Calibri" w:eastAsia="Times New Roman" w:hAnsi="Calibri" w:cs="Calibri"/>
                <w:color w:val="000000"/>
                <w:sz w:val="20"/>
                <w:szCs w:val="20"/>
                <w:lang w:bidi="th-TH"/>
              </w:rPr>
              <w:t>0</w:t>
            </w:r>
          </w:p>
        </w:tc>
      </w:tr>
    </w:tbl>
    <w:p w:rsidR="002A2635" w:rsidRPr="0034148C" w:rsidRDefault="002A2635" w:rsidP="002A2635">
      <w:pPr>
        <w:tabs>
          <w:tab w:val="left" w:pos="3135"/>
        </w:tabs>
        <w:spacing w:after="0" w:line="240" w:lineRule="auto"/>
        <w:rPr>
          <w:rFonts w:asciiTheme="minorHAnsi" w:hAnsiTheme="minorHAnsi" w:cstheme="minorHAnsi"/>
          <w:sz w:val="20"/>
          <w:szCs w:val="20"/>
        </w:rPr>
      </w:pPr>
      <w:r w:rsidRPr="0034148C">
        <w:rPr>
          <w:rFonts w:asciiTheme="minorHAnsi" w:hAnsiTheme="minorHAnsi" w:cstheme="minorHAnsi"/>
          <w:sz w:val="20"/>
          <w:szCs w:val="20"/>
        </w:rPr>
        <w:t>1= early stages of transition towards sustainability</w:t>
      </w:r>
    </w:p>
    <w:p w:rsidR="002A2635" w:rsidRPr="0034148C" w:rsidRDefault="002A2635" w:rsidP="002A2635">
      <w:pPr>
        <w:tabs>
          <w:tab w:val="left" w:pos="3135"/>
        </w:tabs>
        <w:spacing w:after="0" w:line="240" w:lineRule="auto"/>
        <w:rPr>
          <w:rFonts w:asciiTheme="minorHAnsi" w:hAnsiTheme="minorHAnsi" w:cstheme="minorHAnsi"/>
          <w:sz w:val="20"/>
          <w:szCs w:val="20"/>
        </w:rPr>
      </w:pPr>
      <w:r w:rsidRPr="0034148C">
        <w:rPr>
          <w:rFonts w:asciiTheme="minorHAnsi" w:hAnsiTheme="minorHAnsi" w:cstheme="minorHAnsi"/>
          <w:sz w:val="20"/>
          <w:szCs w:val="20"/>
        </w:rPr>
        <w:t>2= mid transition towards sustainability</w:t>
      </w:r>
    </w:p>
    <w:p w:rsidR="00B4740F" w:rsidRPr="0034148C" w:rsidRDefault="002A2635" w:rsidP="002A2635">
      <w:pPr>
        <w:tabs>
          <w:tab w:val="left" w:pos="3135"/>
        </w:tabs>
        <w:spacing w:after="0" w:line="240" w:lineRule="auto"/>
        <w:rPr>
          <w:rFonts w:asciiTheme="minorHAnsi" w:hAnsiTheme="minorHAnsi" w:cstheme="minorHAnsi"/>
          <w:sz w:val="20"/>
          <w:szCs w:val="20"/>
        </w:rPr>
      </w:pPr>
      <w:r w:rsidRPr="0034148C">
        <w:rPr>
          <w:rFonts w:asciiTheme="minorHAnsi" w:hAnsiTheme="minorHAnsi" w:cstheme="minorHAnsi"/>
          <w:sz w:val="20"/>
          <w:szCs w:val="20"/>
        </w:rPr>
        <w:t>3= consolidating position</w:t>
      </w:r>
    </w:p>
    <w:p w:rsidR="002A2635" w:rsidRPr="0034148C" w:rsidRDefault="002A2635" w:rsidP="00B4740F">
      <w:pPr>
        <w:tabs>
          <w:tab w:val="left" w:pos="3135"/>
        </w:tabs>
        <w:spacing w:line="240" w:lineRule="auto"/>
      </w:pPr>
    </w:p>
    <w:p w:rsidR="00B4740F" w:rsidRPr="0034148C" w:rsidRDefault="00B4740F" w:rsidP="00B4740F">
      <w:pPr>
        <w:tabs>
          <w:tab w:val="left" w:pos="3135"/>
        </w:tabs>
        <w:spacing w:line="240" w:lineRule="auto"/>
      </w:pPr>
      <w:r w:rsidRPr="0034148C">
        <w:t xml:space="preserve">Specific observations made during the capacity assessment </w:t>
      </w:r>
      <w:proofErr w:type="gramStart"/>
      <w:r w:rsidRPr="0034148C">
        <w:t>are discussed</w:t>
      </w:r>
      <w:proofErr w:type="gramEnd"/>
      <w:r w:rsidRPr="0034148C">
        <w:t xml:space="preserve"> below</w:t>
      </w:r>
      <w:r w:rsidR="005246DF" w:rsidRPr="0034148C">
        <w:t>:</w:t>
      </w:r>
    </w:p>
    <w:p w:rsidR="00B4740F" w:rsidRPr="0034148C" w:rsidRDefault="00B4740F" w:rsidP="00B4740F">
      <w:pPr>
        <w:tabs>
          <w:tab w:val="left" w:pos="3135"/>
        </w:tabs>
        <w:spacing w:line="240" w:lineRule="auto"/>
        <w:rPr>
          <w:bCs/>
          <w:i/>
        </w:rPr>
      </w:pPr>
      <w:r w:rsidRPr="0034148C">
        <w:rPr>
          <w:bCs/>
          <w:i/>
        </w:rPr>
        <w:t>Organizational Capacity</w:t>
      </w:r>
    </w:p>
    <w:p w:rsidR="00B4740F" w:rsidRPr="0034148C" w:rsidRDefault="00B4740F" w:rsidP="005246DF">
      <w:pPr>
        <w:pStyle w:val="bulletedtext"/>
      </w:pPr>
      <w:r w:rsidRPr="0034148C">
        <w:t>Echoing the NGO Sustainability Index for 2010, staffing is an ongoing problem for several CSOs. Some organizations reported that they had had to let experienced staff go. Others make do with a very small number of staff, meaning that a few people are filling several roles and functions.</w:t>
      </w:r>
    </w:p>
    <w:p w:rsidR="00B4740F" w:rsidRPr="0034148C" w:rsidRDefault="00B4740F" w:rsidP="005246DF">
      <w:pPr>
        <w:pStyle w:val="bulletedtext"/>
      </w:pPr>
      <w:r w:rsidRPr="0034148C">
        <w:t xml:space="preserve">Four out of the seven </w:t>
      </w:r>
      <w:r w:rsidR="00743485" w:rsidRPr="0034148C">
        <w:t>CSOs</w:t>
      </w:r>
      <w:r w:rsidR="00743485">
        <w:t xml:space="preserve"> </w:t>
      </w:r>
      <w:r w:rsidR="00743485" w:rsidRPr="0034148C">
        <w:t>included</w:t>
      </w:r>
      <w:r w:rsidRPr="0034148C">
        <w:t xml:space="preserve"> in the capacity assessment engage in some form of medium or long-term strategic planning.</w:t>
      </w:r>
    </w:p>
    <w:p w:rsidR="00B4740F" w:rsidRPr="0034148C" w:rsidRDefault="00B4740F" w:rsidP="005246DF">
      <w:pPr>
        <w:pStyle w:val="bulletedtext"/>
      </w:pPr>
      <w:r w:rsidRPr="0034148C">
        <w:lastRenderedPageBreak/>
        <w:t xml:space="preserve">The majority of the CSOs included in the capacity assessment do not have a system of external oversight and advice. Where a board of governors </w:t>
      </w:r>
      <w:proofErr w:type="gramStart"/>
      <w:r w:rsidRPr="0034148C">
        <w:t>exists</w:t>
      </w:r>
      <w:proofErr w:type="gramEnd"/>
      <w:r w:rsidRPr="0034148C">
        <w:t xml:space="preserve"> the people on the board often are one and the same as the senior management team of the organization.</w:t>
      </w:r>
    </w:p>
    <w:p w:rsidR="00B4740F" w:rsidRPr="0034148C" w:rsidRDefault="00B4740F" w:rsidP="005246DF">
      <w:pPr>
        <w:keepNext/>
        <w:keepLines/>
        <w:tabs>
          <w:tab w:val="left" w:pos="3135"/>
        </w:tabs>
        <w:spacing w:line="240" w:lineRule="auto"/>
        <w:rPr>
          <w:bCs/>
        </w:rPr>
      </w:pPr>
      <w:r w:rsidRPr="0034148C">
        <w:rPr>
          <w:bCs/>
          <w:i/>
        </w:rPr>
        <w:t>Financial Viability</w:t>
      </w:r>
    </w:p>
    <w:p w:rsidR="00B4740F" w:rsidRPr="0034148C" w:rsidRDefault="00B4740F" w:rsidP="005246DF">
      <w:pPr>
        <w:pStyle w:val="bulletedtext"/>
        <w:rPr>
          <w:b/>
        </w:rPr>
      </w:pPr>
      <w:r w:rsidRPr="0034148C">
        <w:t xml:space="preserve">All CSOs included in the capacity assessment are heavily dependent on international donors for funding. </w:t>
      </w:r>
    </w:p>
    <w:p w:rsidR="00B4740F" w:rsidRPr="0034148C" w:rsidRDefault="00B4740F" w:rsidP="005246DF">
      <w:pPr>
        <w:pStyle w:val="bulletedtext"/>
        <w:rPr>
          <w:b/>
        </w:rPr>
      </w:pPr>
      <w:r w:rsidRPr="0034148C">
        <w:t>However several of the CSOs are moving in the right direction in terms of sustainability, having developed alternative funding sources, including:</w:t>
      </w:r>
    </w:p>
    <w:p w:rsidR="00B4740F" w:rsidRPr="0034148C" w:rsidRDefault="00B4740F" w:rsidP="005246DF">
      <w:pPr>
        <w:pStyle w:val="bulletedtext"/>
        <w:numPr>
          <w:ilvl w:val="1"/>
          <w:numId w:val="6"/>
        </w:numPr>
        <w:ind w:left="1170"/>
        <w:rPr>
          <w:b/>
        </w:rPr>
      </w:pPr>
      <w:r w:rsidRPr="0034148C">
        <w:t>Social Enterprises</w:t>
      </w:r>
    </w:p>
    <w:p w:rsidR="00B4740F" w:rsidRPr="0034148C" w:rsidRDefault="00B4740F" w:rsidP="005246DF">
      <w:pPr>
        <w:pStyle w:val="bulletedtext"/>
        <w:numPr>
          <w:ilvl w:val="1"/>
          <w:numId w:val="6"/>
        </w:numPr>
        <w:ind w:left="1170"/>
        <w:rPr>
          <w:b/>
        </w:rPr>
      </w:pPr>
      <w:r w:rsidRPr="0034148C">
        <w:t>Local Grants</w:t>
      </w:r>
    </w:p>
    <w:p w:rsidR="00B4740F" w:rsidRPr="0034148C" w:rsidRDefault="00B4740F" w:rsidP="005246DF">
      <w:pPr>
        <w:pStyle w:val="bulletedtext"/>
        <w:numPr>
          <w:ilvl w:val="1"/>
          <w:numId w:val="6"/>
        </w:numPr>
        <w:ind w:left="1170"/>
        <w:rPr>
          <w:b/>
        </w:rPr>
      </w:pPr>
      <w:r w:rsidRPr="0034148C">
        <w:t>Government contracts</w:t>
      </w:r>
    </w:p>
    <w:p w:rsidR="00B4740F" w:rsidRPr="0034148C" w:rsidRDefault="00B4740F" w:rsidP="005246DF">
      <w:pPr>
        <w:pStyle w:val="bulletedtext"/>
        <w:numPr>
          <w:ilvl w:val="1"/>
          <w:numId w:val="6"/>
        </w:numPr>
        <w:ind w:left="1170"/>
        <w:rPr>
          <w:b/>
        </w:rPr>
      </w:pPr>
      <w:r w:rsidRPr="0034148C">
        <w:t>Business donations</w:t>
      </w:r>
    </w:p>
    <w:p w:rsidR="00B4740F" w:rsidRPr="0034148C" w:rsidRDefault="00B4740F" w:rsidP="005246DF">
      <w:pPr>
        <w:pStyle w:val="bulletedtext"/>
        <w:numPr>
          <w:ilvl w:val="1"/>
          <w:numId w:val="6"/>
        </w:numPr>
        <w:ind w:left="1170"/>
        <w:rPr>
          <w:b/>
        </w:rPr>
      </w:pPr>
      <w:r w:rsidRPr="0034148C">
        <w:t>Consultancy services</w:t>
      </w:r>
    </w:p>
    <w:p w:rsidR="00B4740F" w:rsidRPr="0034148C" w:rsidRDefault="00B4740F" w:rsidP="005246DF">
      <w:pPr>
        <w:pStyle w:val="bulletedtext"/>
      </w:pPr>
      <w:r w:rsidRPr="0034148C">
        <w:t>However, none of the CSOs participating in the assessment report charging any substantial membership fees and only one of them charges for services provided to beneficiaries (Marneuli Youth Centre, which sells various courses).</w:t>
      </w:r>
    </w:p>
    <w:p w:rsidR="00B4740F" w:rsidRPr="0034148C" w:rsidRDefault="00B4740F" w:rsidP="00B4740F">
      <w:pPr>
        <w:tabs>
          <w:tab w:val="left" w:pos="3135"/>
        </w:tabs>
        <w:spacing w:line="240" w:lineRule="auto"/>
        <w:rPr>
          <w:bCs/>
        </w:rPr>
      </w:pPr>
      <w:r w:rsidRPr="0034148C">
        <w:rPr>
          <w:bCs/>
          <w:i/>
        </w:rPr>
        <w:t>Advocacy</w:t>
      </w:r>
    </w:p>
    <w:p w:rsidR="00B4740F" w:rsidRPr="0034148C" w:rsidRDefault="00B4740F" w:rsidP="005246DF">
      <w:pPr>
        <w:pStyle w:val="bulletedtext"/>
      </w:pPr>
      <w:proofErr w:type="gramStart"/>
      <w:r w:rsidRPr="0034148C">
        <w:t>Echoing the findings of the NGO Sustainability Index, many of the CSOs participating in the assessment report having good working relationships with the local government.</w:t>
      </w:r>
      <w:proofErr w:type="gramEnd"/>
      <w:r w:rsidRPr="0034148C">
        <w:t xml:space="preserve"> However, often these relationships centre around a particular person (e.g. the head of the Sakrebulo in Gori) who becomes the “go to” person on all issues, and do not extend to line staff in various government departments who may have actual responsibility for the issues at hand. </w:t>
      </w:r>
    </w:p>
    <w:p w:rsidR="00B4740F" w:rsidRPr="0034148C" w:rsidRDefault="00B4740F" w:rsidP="005246DF">
      <w:pPr>
        <w:pStyle w:val="bulletedtext"/>
      </w:pPr>
      <w:r w:rsidRPr="0034148C">
        <w:t xml:space="preserve">Furthermore, most of the advocacy initiatives undertaken with funding from SIIMS adopted a </w:t>
      </w:r>
      <w:proofErr w:type="gramStart"/>
      <w:r w:rsidRPr="0034148C">
        <w:t>highly tactical</w:t>
      </w:r>
      <w:proofErr w:type="gramEnd"/>
      <w:r w:rsidRPr="0034148C">
        <w:t xml:space="preserve"> approach to advocacy. They focused on drawing attention to a broad range of specific needs of the IDP population. While this may have helped deepen the local government’s understanding of the problems of the IDP population, the initiatives did not address longer-term, systemic policy issues that affect the welfare of IDPs and their host communities. Few organizations report that they engage in ongoing monitoring of government performance or work to hold the government to account for commitments made.</w:t>
      </w:r>
    </w:p>
    <w:p w:rsidR="00B4740F" w:rsidRPr="0034148C" w:rsidRDefault="00B4740F" w:rsidP="005246DF">
      <w:pPr>
        <w:pStyle w:val="bulletedtext"/>
      </w:pPr>
      <w:r w:rsidRPr="0034148C">
        <w:t>Several CSOs report that they participate in coalitions that work together to advocate on specific issues. That said</w:t>
      </w:r>
      <w:proofErr w:type="gramStart"/>
      <w:r w:rsidRPr="0034148C">
        <w:t>,</w:t>
      </w:r>
      <w:proofErr w:type="gramEnd"/>
      <w:r w:rsidRPr="0034148C">
        <w:t xml:space="preserve"> it is not clear to what extent there was any coordination between the CSOs implementing the second round of grants issues by SIIMS. Several of the projects included a component of identifying key IDP problems and needs and representing these to the local authorities. In some instances two of these projects appear to have been implemented in the same IDP settlement at the around the same time. This may have been confusing to both the beneficiaries and to the local authorities. </w:t>
      </w:r>
      <w:r w:rsidRPr="0034148C">
        <w:lastRenderedPageBreak/>
        <w:t>Furthermore, the lack of coordination between these efforts allows the authorities to maintain a piecemeal approach to dealing with problems, without addressing broader systemic issues. SIIMS may have missed an opportunity to set a good example of coordination and collaboration between local NGOs in this regard.</w:t>
      </w:r>
    </w:p>
    <w:p w:rsidR="00B4740F" w:rsidRPr="0034148C" w:rsidRDefault="00B4740F" w:rsidP="005246DF">
      <w:pPr>
        <w:pStyle w:val="bulletedtext"/>
      </w:pPr>
      <w:r w:rsidRPr="0034148C">
        <w:t xml:space="preserve">It is important to note that throughout all of the advocacy initiatives undertaken by CSOs under the SIIMS, great attention </w:t>
      </w:r>
      <w:proofErr w:type="gramStart"/>
      <w:r w:rsidRPr="0034148C">
        <w:t>was paid</w:t>
      </w:r>
      <w:proofErr w:type="gramEnd"/>
      <w:r w:rsidRPr="0034148C">
        <w:t xml:space="preserve"> to supporting IDPs to identify their needs and problems. A number of the initiatives sought to empower IDPs to represent their analysis directly to local authorities. </w:t>
      </w:r>
    </w:p>
    <w:p w:rsidR="00B4740F" w:rsidRPr="0034148C" w:rsidRDefault="00B4740F" w:rsidP="00B4740F">
      <w:pPr>
        <w:tabs>
          <w:tab w:val="left" w:pos="3135"/>
        </w:tabs>
        <w:spacing w:line="240" w:lineRule="auto"/>
        <w:rPr>
          <w:bCs/>
        </w:rPr>
      </w:pPr>
      <w:r w:rsidRPr="0034148C">
        <w:rPr>
          <w:bCs/>
          <w:i/>
        </w:rPr>
        <w:t>Service Delivery</w:t>
      </w:r>
    </w:p>
    <w:p w:rsidR="00B4740F" w:rsidRPr="0034148C" w:rsidRDefault="00A25181" w:rsidP="005246DF">
      <w:pPr>
        <w:pStyle w:val="bulletedtext"/>
      </w:pPr>
      <w:r w:rsidRPr="0034148C">
        <w:t>Monitoring and evaluation (</w:t>
      </w:r>
      <w:r w:rsidR="00B4740F" w:rsidRPr="0034148C">
        <w:t>M</w:t>
      </w:r>
      <w:r w:rsidR="005246DF" w:rsidRPr="0034148C">
        <w:t>&amp;</w:t>
      </w:r>
      <w:r w:rsidR="00B4740F" w:rsidRPr="0034148C">
        <w:t>E</w:t>
      </w:r>
      <w:r w:rsidRPr="0034148C">
        <w:t>)</w:t>
      </w:r>
      <w:r w:rsidR="00B4740F" w:rsidRPr="0034148C">
        <w:t xml:space="preserve"> is weak for most of the CSO</w:t>
      </w:r>
      <w:r w:rsidR="005246DF" w:rsidRPr="0034148C">
        <w:t>s</w:t>
      </w:r>
      <w:r w:rsidR="00B4740F" w:rsidRPr="0034148C">
        <w:t xml:space="preserve"> in the sample. Although a few CSO reported using pre- and post- training test results as an indicator of the impact of trainings, most monitoring focused on whether stipulated activities </w:t>
      </w:r>
      <w:proofErr w:type="gramStart"/>
      <w:r w:rsidR="00B4740F" w:rsidRPr="0034148C">
        <w:t>have been implemented</w:t>
      </w:r>
      <w:proofErr w:type="gramEnd"/>
      <w:r w:rsidR="00B4740F" w:rsidRPr="0034148C">
        <w:t xml:space="preserve"> and the number of participants in those activities. There were very few examples of the CSO really working to understand whether their work is having an impact, what impact it is having, and how.</w:t>
      </w:r>
    </w:p>
    <w:p w:rsidR="00B4740F" w:rsidRPr="0034148C" w:rsidRDefault="00B4740F" w:rsidP="005246DF">
      <w:pPr>
        <w:pStyle w:val="bulletedtext"/>
      </w:pPr>
      <w:proofErr w:type="gramStart"/>
      <w:r w:rsidRPr="0034148C">
        <w:t>Looking through the proposals submitted to both the first and second rounds of SIIMS grants,</w:t>
      </w:r>
      <w:proofErr w:type="gramEnd"/>
      <w:r w:rsidRPr="0034148C">
        <w:t xml:space="preserve"> </w:t>
      </w:r>
      <w:proofErr w:type="gramStart"/>
      <w:r w:rsidRPr="0034148C">
        <w:t>it</w:t>
      </w:r>
      <w:proofErr w:type="gramEnd"/>
      <w:r w:rsidRPr="0034148C">
        <w:t xml:space="preserve"> also appears that several CSOs set unrealistic goals and often conflate goals, activities and results. Not only does this make </w:t>
      </w:r>
      <w:r w:rsidR="00D91B10" w:rsidRPr="0034148C">
        <w:t>M&amp;E</w:t>
      </w:r>
      <w:r w:rsidRPr="0034148C">
        <w:t xml:space="preserve"> more challenging, it also suggests that these CSOs do not necessarily have a </w:t>
      </w:r>
      <w:r w:rsidR="00D91B10" w:rsidRPr="0034148C">
        <w:t>clear</w:t>
      </w:r>
      <w:r w:rsidRPr="0034148C">
        <w:t xml:space="preserve"> vision of what their projects are trying to achieve and how the proposed activities will help them achieve the project goal.</w:t>
      </w:r>
    </w:p>
    <w:p w:rsidR="00B4740F" w:rsidRPr="0034148C" w:rsidRDefault="00B4740F" w:rsidP="00B4740F">
      <w:pPr>
        <w:tabs>
          <w:tab w:val="left" w:pos="3135"/>
        </w:tabs>
        <w:spacing w:line="240" w:lineRule="auto"/>
        <w:rPr>
          <w:bCs/>
          <w:i/>
        </w:rPr>
      </w:pPr>
      <w:r w:rsidRPr="0034148C">
        <w:rPr>
          <w:bCs/>
          <w:i/>
        </w:rPr>
        <w:t>Infrastructure and networks</w:t>
      </w:r>
    </w:p>
    <w:p w:rsidR="00B4740F" w:rsidRPr="0034148C" w:rsidRDefault="00B4740F" w:rsidP="005246DF">
      <w:pPr>
        <w:pStyle w:val="bulletedtext"/>
        <w:rPr>
          <w:b/>
        </w:rPr>
      </w:pPr>
      <w:r w:rsidRPr="0034148C">
        <w:t xml:space="preserve">The capacity assessment underlines the finding of the NGO Sustainability Index that there are few local affordable training opportunities available to CSOs. However, most CSOs in the sample are very active and opportunistic in seeking out training opportunities through international donors. </w:t>
      </w:r>
    </w:p>
    <w:p w:rsidR="00B4740F" w:rsidRPr="0034148C" w:rsidRDefault="00B4740F" w:rsidP="005246DF">
      <w:pPr>
        <w:pStyle w:val="bulletedtext"/>
        <w:rPr>
          <w:b/>
        </w:rPr>
      </w:pPr>
      <w:r w:rsidRPr="0034148C">
        <w:t>In Shida Kartli, in particular, the CSOs in the sample report that they have substantial experience in working with partners and working as part of networks.</w:t>
      </w:r>
    </w:p>
    <w:p w:rsidR="00B4740F" w:rsidRPr="0034148C" w:rsidRDefault="00B4740F" w:rsidP="00B4740F">
      <w:pPr>
        <w:tabs>
          <w:tab w:val="left" w:pos="3135"/>
        </w:tabs>
        <w:spacing w:line="240" w:lineRule="auto"/>
        <w:rPr>
          <w:bCs/>
          <w:i/>
        </w:rPr>
      </w:pPr>
      <w:r w:rsidRPr="0034148C">
        <w:rPr>
          <w:bCs/>
          <w:i/>
        </w:rPr>
        <w:t>Public Image</w:t>
      </w:r>
    </w:p>
    <w:p w:rsidR="00B4740F" w:rsidRPr="0034148C" w:rsidRDefault="00B4740F" w:rsidP="005246DF">
      <w:pPr>
        <w:pStyle w:val="bulletedtext"/>
        <w:rPr>
          <w:b/>
        </w:rPr>
      </w:pPr>
      <w:r w:rsidRPr="0034148C">
        <w:t>The CSOs in the sample appear to have a good reputation amongst their beneficiary populations. Several CSOs reported that individuals from their beneficiary population have sought them out for help or advice on particular problems outside of the framework of a specific project. This speaks to a certain amount of trust in the CSOs.</w:t>
      </w:r>
    </w:p>
    <w:p w:rsidR="00B4740F" w:rsidRPr="0034148C" w:rsidRDefault="00B4740F" w:rsidP="005246DF">
      <w:pPr>
        <w:pStyle w:val="bulletedtext"/>
        <w:rPr>
          <w:b/>
        </w:rPr>
      </w:pPr>
      <w:r w:rsidRPr="0034148C">
        <w:t>However, it is clear from the FGDs that understanding of the role and mission of CSOs is greater amongst young people. Some amongst the older generation might still be suspicious of NGOs.</w:t>
      </w:r>
    </w:p>
    <w:p w:rsidR="00B4740F" w:rsidRPr="0034148C" w:rsidRDefault="00B4740F" w:rsidP="005246DF">
      <w:pPr>
        <w:pStyle w:val="bulletedtext"/>
        <w:rPr>
          <w:b/>
        </w:rPr>
      </w:pPr>
      <w:r w:rsidRPr="0034148C">
        <w:t xml:space="preserve">Many of the CSOs in the sample regularly get unpaid volunteers from the local university and/or beneficiary population to support them in their work. None of the CSOs in the sample reported any problems in this regard. </w:t>
      </w:r>
    </w:p>
    <w:p w:rsidR="00B4740F" w:rsidRPr="0034148C" w:rsidRDefault="00B4740F" w:rsidP="005246DF">
      <w:pPr>
        <w:pStyle w:val="bulletedtext"/>
        <w:rPr>
          <w:b/>
        </w:rPr>
      </w:pPr>
      <w:r w:rsidRPr="0034148C">
        <w:lastRenderedPageBreak/>
        <w:t xml:space="preserve">In Shida Kartli, at least, several of the CSOs reported that they get substantial media coverage in </w:t>
      </w:r>
      <w:r w:rsidR="00D91B10" w:rsidRPr="0034148C">
        <w:t>the</w:t>
      </w:r>
      <w:r w:rsidRPr="0034148C">
        <w:t xml:space="preserve"> print press, radio and even TV. </w:t>
      </w:r>
      <w:proofErr w:type="gramStart"/>
      <w:r w:rsidRPr="0034148C">
        <w:t>Generally</w:t>
      </w:r>
      <w:proofErr w:type="gramEnd"/>
      <w:r w:rsidRPr="0034148C">
        <w:t xml:space="preserve"> the coverage is either positive or neutral. None of the organizations reported any negative press coverage.</w:t>
      </w:r>
    </w:p>
    <w:p w:rsidR="003D3F0C" w:rsidRPr="0034148C" w:rsidRDefault="003D3F0C" w:rsidP="003D3F0C">
      <w:pPr>
        <w:pStyle w:val="Heading2"/>
      </w:pPr>
      <w:bookmarkStart w:id="279" w:name="_Toc338717160"/>
      <w:bookmarkStart w:id="280" w:name="_Toc338750192"/>
      <w:bookmarkStart w:id="281" w:name="_Toc339368785"/>
      <w:r w:rsidRPr="0034148C">
        <w:t>6.5 Summary and conclusion</w:t>
      </w:r>
      <w:r w:rsidR="005246DF" w:rsidRPr="0034148C">
        <w:t>s</w:t>
      </w:r>
      <w:bookmarkEnd w:id="279"/>
      <w:bookmarkEnd w:id="280"/>
      <w:bookmarkEnd w:id="281"/>
    </w:p>
    <w:p w:rsidR="005246DF" w:rsidRPr="0034148C" w:rsidRDefault="005246DF" w:rsidP="005246DF">
      <w:r w:rsidRPr="0034148C">
        <w:t xml:space="preserve">This section offers some final observations about the extent to which the support to civil society component has helped foster change that is in line with the civil society component of CARE’s Country </w:t>
      </w:r>
      <w:r w:rsidR="00D91B10" w:rsidRPr="0034148C">
        <w:t>Program</w:t>
      </w:r>
      <w:r w:rsidRPr="0034148C">
        <w:t xml:space="preserve">. </w:t>
      </w:r>
    </w:p>
    <w:p w:rsidR="005246DF" w:rsidRPr="0034148C" w:rsidRDefault="00D4325B" w:rsidP="005246DF">
      <w:bookmarkStart w:id="282" w:name="_Toc338717161"/>
      <w:r>
        <w:t>The evaluation examined whether</w:t>
      </w:r>
      <w:r w:rsidR="005246DF" w:rsidRPr="0034148C">
        <w:t xml:space="preserve"> CSOs</w:t>
      </w:r>
      <w:r w:rsidR="00C96B5C">
        <w:t xml:space="preserve"> </w:t>
      </w:r>
      <w:proofErr w:type="gramStart"/>
      <w:r w:rsidR="00C96B5C">
        <w:t xml:space="preserve">are </w:t>
      </w:r>
      <w:r w:rsidR="005246DF" w:rsidRPr="0034148C">
        <w:t xml:space="preserve"> moving</w:t>
      </w:r>
      <w:proofErr w:type="gramEnd"/>
      <w:r w:rsidR="005246DF" w:rsidRPr="0034148C">
        <w:t xml:space="preserve"> in the direction of becoming effective representatives of local priorities</w:t>
      </w:r>
      <w:bookmarkEnd w:id="282"/>
      <w:r w:rsidR="00C96B5C">
        <w:t xml:space="preserve">. </w:t>
      </w:r>
      <w:r w:rsidR="005246DF" w:rsidRPr="0034148C">
        <w:t>SIIMS supported a number of CSOs to engage with new beneficiary or constituency groups. The nature of the programs implemented (particularly those implemented during the second round of the grant competition) was such that they helped build up a picture or the problems and needs of different IDP communities and vision that these communities have for how to improve their situation. Having this understanding is a very important first step in becoming a representative of local priorities.</w:t>
      </w:r>
    </w:p>
    <w:p w:rsidR="005246DF" w:rsidRPr="0034148C" w:rsidRDefault="005246DF" w:rsidP="005246DF">
      <w:r w:rsidRPr="0034148C">
        <w:t xml:space="preserve">It is also clear that through implementing these projects the CSOs were </w:t>
      </w:r>
      <w:proofErr w:type="gramStart"/>
      <w:r w:rsidRPr="0034148C">
        <w:t>to a large extent</w:t>
      </w:r>
      <w:proofErr w:type="gramEnd"/>
      <w:r w:rsidRPr="0034148C">
        <w:t xml:space="preserve"> able to build relationships of trust with their beneficiaries. This trust </w:t>
      </w:r>
      <w:proofErr w:type="gramStart"/>
      <w:r w:rsidRPr="0034148C">
        <w:t>was established</w:t>
      </w:r>
      <w:proofErr w:type="gramEnd"/>
      <w:r w:rsidRPr="0034148C">
        <w:t xml:space="preserve"> amongst young people especially, although when FGD participants were asked to describe the role of the CSOs they had been dealing with, they tended to describe them as service providers rather than advocates or champions of local causes. That said, a number of CSOs reported that people have been approaching them for support and advice on a range of issues, demonstrating that communities are increasingly seeing CSOs as organizations that can solve local problems.</w:t>
      </w:r>
    </w:p>
    <w:p w:rsidR="005246DF" w:rsidRPr="0034148C" w:rsidRDefault="005246DF" w:rsidP="005246DF">
      <w:r w:rsidRPr="0034148C">
        <w:t xml:space="preserve">The CSOs funded by SIIMS demonstrated a number of good practices in their advocacy work, particularly around getting the genuine involvement of beneficiary communities in articulating needs and representing those needs to local authorities. However, the advocacy work, itself, was only moderately effective because it did little to analyze or tackle systemic policy issues. SIIMS, therefore, has supported these CSO in becoming more representative of local communities, but there is still some way to go before they become </w:t>
      </w:r>
      <w:r w:rsidRPr="0034148C">
        <w:rPr>
          <w:i/>
        </w:rPr>
        <w:t>effective</w:t>
      </w:r>
      <w:r w:rsidRPr="0034148C">
        <w:t xml:space="preserve"> representatives of local priorities. </w:t>
      </w:r>
    </w:p>
    <w:p w:rsidR="005246DF" w:rsidRPr="0034148C" w:rsidRDefault="00C96B5C" w:rsidP="005246DF">
      <w:bookmarkStart w:id="283" w:name="_Toc338717162"/>
      <w:r>
        <w:t>Another objective of the project was to help</w:t>
      </w:r>
      <w:r w:rsidR="005246DF" w:rsidRPr="0034148C">
        <w:t xml:space="preserve"> CSOs mov</w:t>
      </w:r>
      <w:r>
        <w:t xml:space="preserve">e </w:t>
      </w:r>
      <w:r w:rsidR="005246DF" w:rsidRPr="0034148C">
        <w:t>in the direction of becoming improved provider</w:t>
      </w:r>
      <w:r>
        <w:t>s</w:t>
      </w:r>
      <w:r w:rsidR="005246DF" w:rsidRPr="0034148C">
        <w:t xml:space="preserve"> of a broader range of services</w:t>
      </w:r>
      <w:bookmarkEnd w:id="283"/>
      <w:r>
        <w:t xml:space="preserve">. </w:t>
      </w:r>
      <w:r w:rsidR="005246DF" w:rsidRPr="0034148C">
        <w:t xml:space="preserve">SIIMS demonstrated that CSOs are keen to branch out to provide services to new beneficiary groups and are willing to experiment with new, adapted approaches to work with these groups. However, in providing services, CSOs reveal a real weakness in terms of being able </w:t>
      </w:r>
      <w:proofErr w:type="gramStart"/>
      <w:r w:rsidR="005246DF" w:rsidRPr="0034148C">
        <w:t>to clearly demonstrate</w:t>
      </w:r>
      <w:proofErr w:type="gramEnd"/>
      <w:r w:rsidR="005246DF" w:rsidRPr="0034148C">
        <w:t xml:space="preserve"> how the activities that are implemented will help achieve the goal(s) that they are working towards. This is a problem technically for </w:t>
      </w:r>
      <w:r w:rsidR="00D91B10" w:rsidRPr="0034148C">
        <w:t>M&amp;E</w:t>
      </w:r>
      <w:r w:rsidR="005246DF" w:rsidRPr="0034148C">
        <w:t xml:space="preserve"> processes and, therefore, for ensuring the overall quality and impact of the work carried out by CSOs. In particular, there is a concern about the extent to which some of the results achieved by the projects reviewed as part of SIIMS will be sustainable. That said</w:t>
      </w:r>
      <w:proofErr w:type="gramStart"/>
      <w:r w:rsidR="005246DF" w:rsidRPr="0034148C">
        <w:t>,</w:t>
      </w:r>
      <w:proofErr w:type="gramEnd"/>
      <w:r w:rsidR="005246DF" w:rsidRPr="0034148C">
        <w:t xml:space="preserve"> it is important to acknowledge that CSOs appear to be improving the capacity in other ways that have a real bearing on their ability to provide services, such as working to be more responsive to beneficiaries’ priorities and needs and expanding their funding base.</w:t>
      </w:r>
    </w:p>
    <w:p w:rsidR="005246DF" w:rsidRPr="0034148C" w:rsidRDefault="00C96B5C" w:rsidP="00FA5AEB">
      <w:bookmarkStart w:id="284" w:name="_Toc338717163"/>
      <w:r>
        <w:lastRenderedPageBreak/>
        <w:t>With regard to whether</w:t>
      </w:r>
      <w:r w:rsidR="005246DF" w:rsidRPr="0034148C">
        <w:t xml:space="preserve"> </w:t>
      </w:r>
      <w:proofErr w:type="gramStart"/>
      <w:r w:rsidR="005246DF" w:rsidRPr="0034148C">
        <w:t>CSOs</w:t>
      </w:r>
      <w:r w:rsidR="00A01BBD">
        <w:t xml:space="preserve"> </w:t>
      </w:r>
      <w:r>
        <w:t xml:space="preserve"> are</w:t>
      </w:r>
      <w:proofErr w:type="gramEnd"/>
      <w:r w:rsidR="005246DF" w:rsidRPr="0034148C">
        <w:t xml:space="preserve"> moving in the direction of broadening their income base</w:t>
      </w:r>
      <w:bookmarkEnd w:id="284"/>
      <w:r>
        <w:t>, a</w:t>
      </w:r>
      <w:r w:rsidR="005246DF" w:rsidRPr="0034148C">
        <w:t>s mentioned above, all CSOs included in the capacity assessment remain heavily dependent on international donors for funding. However, in Shida Kartli, in particular, several of the CSOs are moving in the right direction in terms of developed alternative funding sources. None of the CSOs participating in the assessment report charging any substantial membership fees and only one of them charges for services provided to beneficiaries. It is not clear that SIIMS has made a substantial contribution to developments in this area.</w:t>
      </w:r>
    </w:p>
    <w:p w:rsidR="007C33B9" w:rsidRPr="0034148C" w:rsidRDefault="00B41952" w:rsidP="00555BE4">
      <w:pPr>
        <w:pStyle w:val="Heading1"/>
      </w:pPr>
      <w:bookmarkStart w:id="285" w:name="_Toc338325595"/>
      <w:bookmarkStart w:id="286" w:name="_Toc338572137"/>
      <w:bookmarkStart w:id="287" w:name="_Toc338717164"/>
      <w:bookmarkStart w:id="288" w:name="_Toc338750193"/>
      <w:bookmarkStart w:id="289" w:name="_Toc339368786"/>
      <w:r w:rsidRPr="0034148C">
        <w:t>7. Component 4: Capacity building of children and adolescents</w:t>
      </w:r>
      <w:bookmarkEnd w:id="285"/>
      <w:bookmarkEnd w:id="286"/>
      <w:bookmarkEnd w:id="287"/>
      <w:bookmarkEnd w:id="288"/>
      <w:bookmarkEnd w:id="289"/>
    </w:p>
    <w:p w:rsidR="009535CE" w:rsidRPr="0034148C" w:rsidRDefault="009535CE" w:rsidP="009535CE">
      <w:pPr>
        <w:rPr>
          <w:rFonts w:cs="Arial"/>
          <w:b/>
          <w:bCs/>
        </w:rPr>
      </w:pPr>
      <w:r w:rsidRPr="0034148C">
        <w:t xml:space="preserve">The Capacity Building of Children and </w:t>
      </w:r>
      <w:r w:rsidR="00BB356D" w:rsidRPr="0034148C">
        <w:t>Adolescents component</w:t>
      </w:r>
      <w:r w:rsidRPr="0034148C">
        <w:t xml:space="preserve"> of the SIIMS project </w:t>
      </w:r>
      <w:proofErr w:type="gramStart"/>
      <w:r w:rsidRPr="0034148C">
        <w:t>was largely implemented</w:t>
      </w:r>
      <w:proofErr w:type="gramEnd"/>
      <w:r w:rsidRPr="0034148C">
        <w:t xml:space="preserve"> by the project partner, IDP Women Association CONSE</w:t>
      </w:r>
      <w:r w:rsidR="00D35B09" w:rsidRPr="0034148C">
        <w:t>N</w:t>
      </w:r>
      <w:r w:rsidRPr="0034148C">
        <w:t xml:space="preserve">T. The component </w:t>
      </w:r>
      <w:proofErr w:type="gramStart"/>
      <w:r w:rsidRPr="0034148C">
        <w:t>was implemented</w:t>
      </w:r>
      <w:proofErr w:type="gramEnd"/>
      <w:r w:rsidRPr="0034148C">
        <w:t xml:space="preserve"> with </w:t>
      </w:r>
      <w:r w:rsidR="000A4BBF" w:rsidRPr="0034148C">
        <w:t>student</w:t>
      </w:r>
      <w:r w:rsidRPr="0034148C">
        <w:t xml:space="preserve">s from 15 pre-selected schools where IDP and local adolescents have studied together since autumn 2008. Through the facilitation of life skill training on a number of pre-selected topics (such as leadership, tolerance, conflict management, volunteerism, gender issues </w:t>
      </w:r>
      <w:proofErr w:type="gramStart"/>
      <w:r w:rsidRPr="0034148C">
        <w:t>etc.)</w:t>
      </w:r>
      <w:proofErr w:type="gramEnd"/>
      <w:r w:rsidRPr="0034148C">
        <w:t xml:space="preserve"> the project aimed to bring together both IDP and non-IDP youth and adults. The trainings themselves </w:t>
      </w:r>
      <w:proofErr w:type="gramStart"/>
      <w:r w:rsidRPr="0034148C">
        <w:t>were aimed</w:t>
      </w:r>
      <w:proofErr w:type="gramEnd"/>
      <w:r w:rsidRPr="0034148C">
        <w:t xml:space="preserve"> at facilitating the development of critical life-skills among the trainees and, more importantly, promoting integration and a sense of unity among target groups. The trainings were preceded by a small study on various aspects of IDP students’ integration into the new environment, which helped to shape the training modules in accordance with a sound understanding of the psychological and social </w:t>
      </w:r>
      <w:proofErr w:type="gramStart"/>
      <w:r w:rsidRPr="0034148C">
        <w:t>factors which</w:t>
      </w:r>
      <w:proofErr w:type="gramEnd"/>
      <w:r w:rsidRPr="0034148C">
        <w:t xml:space="preserve"> impede assimilation of IDP children. In addition, the project helped to rehabilitate infrastructure at each of the selected schools and supported the establishment of parent-teacher support groups at each of the schools.  The component also supported a range of sports and cultural events as well as </w:t>
      </w:r>
      <w:proofErr w:type="gramStart"/>
      <w:r w:rsidRPr="0034148C">
        <w:t>psycho-social</w:t>
      </w:r>
      <w:proofErr w:type="gramEnd"/>
      <w:r w:rsidRPr="0034148C">
        <w:t xml:space="preserve"> projects at each of the target schools. </w:t>
      </w:r>
    </w:p>
    <w:p w:rsidR="009150CA" w:rsidRPr="0034148C" w:rsidRDefault="009150CA" w:rsidP="00B2600B">
      <w:pPr>
        <w:spacing w:after="0"/>
      </w:pPr>
      <w:proofErr w:type="gramStart"/>
      <w:r w:rsidRPr="0034148C">
        <w:t>Project outputs as defined in the logical framework were:</w:t>
      </w:r>
      <w:bookmarkStart w:id="290" w:name="OLE_LINK4"/>
      <w:r w:rsidR="00B2600B" w:rsidRPr="0034148C">
        <w:t xml:space="preserve"> 1) for at least </w:t>
      </w:r>
      <w:r w:rsidR="00B2600B" w:rsidRPr="0034148C">
        <w:rPr>
          <w:rFonts w:eastAsia="Calibri" w:cs="Cordia New"/>
        </w:rPr>
        <w:t xml:space="preserve">60 adolescents </w:t>
      </w:r>
      <w:r w:rsidR="00B2600B" w:rsidRPr="0034148C">
        <w:t xml:space="preserve">to </w:t>
      </w:r>
      <w:r w:rsidR="00B2600B" w:rsidRPr="0034148C">
        <w:rPr>
          <w:rFonts w:eastAsia="Calibri" w:cs="Cordia New"/>
        </w:rPr>
        <w:t xml:space="preserve">develop capacity to educate peers in conflict resolution, negotiation, mediation, gender </w:t>
      </w:r>
      <w:r w:rsidR="00B2600B" w:rsidRPr="0034148C">
        <w:t>issues, problem analysis, etc.; 2) for at</w:t>
      </w:r>
      <w:r w:rsidR="00B2600B" w:rsidRPr="0034148C">
        <w:rPr>
          <w:rFonts w:eastAsia="Calibri" w:cs="Cordia New"/>
        </w:rPr>
        <w:t xml:space="preserve"> least 1,000 IDP and non-IDP adolescents</w:t>
      </w:r>
      <w:r w:rsidR="00B2600B" w:rsidRPr="0034148C">
        <w:t xml:space="preserve"> to</w:t>
      </w:r>
      <w:r w:rsidR="00B2600B" w:rsidRPr="0034148C">
        <w:rPr>
          <w:rFonts w:eastAsia="Calibri" w:cs="Cordia New"/>
        </w:rPr>
        <w:t xml:space="preserve"> improve</w:t>
      </w:r>
      <w:r w:rsidR="00B2600B" w:rsidRPr="0034148C">
        <w:t xml:space="preserve"> their</w:t>
      </w:r>
      <w:r w:rsidR="00B2600B" w:rsidRPr="0034148C">
        <w:rPr>
          <w:rFonts w:eastAsia="Calibri" w:cs="Cordia New"/>
        </w:rPr>
        <w:t xml:space="preserve"> knowledge in conflict resolution, negotiation, mediation, gender issues, problem analysis, etc. through 24 </w:t>
      </w:r>
      <w:r w:rsidR="00B2600B" w:rsidRPr="0034148C">
        <w:t xml:space="preserve">peer trainings in 'life skills'; 3) for </w:t>
      </w:r>
      <w:bookmarkEnd w:id="290"/>
      <w:r w:rsidR="00B2600B" w:rsidRPr="0034148C">
        <w:t>a</w:t>
      </w:r>
      <w:r w:rsidR="00B2600B" w:rsidRPr="0034148C">
        <w:rPr>
          <w:rFonts w:eastAsia="Calibri" w:cs="Cordia New"/>
        </w:rPr>
        <w:t>t least 1,000 IDP and non-IDP children</w:t>
      </w:r>
      <w:r w:rsidR="00B2600B" w:rsidRPr="0034148C">
        <w:t xml:space="preserve"> to</w:t>
      </w:r>
      <w:r w:rsidR="00B2600B" w:rsidRPr="0034148C">
        <w:rPr>
          <w:rFonts w:eastAsia="Calibri" w:cs="Cordia New"/>
        </w:rPr>
        <w:t xml:space="preserve"> apply </w:t>
      </w:r>
      <w:r w:rsidR="00B2600B" w:rsidRPr="0034148C">
        <w:t xml:space="preserve">the </w:t>
      </w:r>
      <w:r w:rsidR="00B2600B" w:rsidRPr="0034148C">
        <w:rPr>
          <w:rFonts w:eastAsia="Calibri" w:cs="Cordia New"/>
        </w:rPr>
        <w:t>improved knowledge gained through “life skills” trainings  in planning and implementation of sport and cultural joint activities</w:t>
      </w:r>
      <w:r w:rsidR="00B2600B" w:rsidRPr="0034148C">
        <w:t>; and 4) for a</w:t>
      </w:r>
      <w:r w:rsidR="00B2600B" w:rsidRPr="0034148C">
        <w:rPr>
          <w:rFonts w:eastAsia="Calibri" w:cs="Cordia New"/>
        </w:rPr>
        <w:t>t least 1,000 additional IDP and non-IDP adolescents</w:t>
      </w:r>
      <w:r w:rsidR="00B2600B" w:rsidRPr="0034148C">
        <w:t xml:space="preserve"> to be</w:t>
      </w:r>
      <w:r w:rsidR="00B2600B" w:rsidRPr="0034148C">
        <w:rPr>
          <w:rFonts w:eastAsia="Calibri" w:cs="Cordia New"/>
        </w:rPr>
        <w:t xml:space="preserve"> involved in planning and  implementation of psycho-social projects in target schools</w:t>
      </w:r>
      <w:r w:rsidR="00B2600B" w:rsidRPr="0034148C">
        <w:t>.</w:t>
      </w:r>
      <w:proofErr w:type="gramEnd"/>
      <w:r w:rsidRPr="0034148C">
        <w:t xml:space="preserve"> These outputs contribute to the specific objective of increasing positive interactions between IDPs and local community members.</w:t>
      </w:r>
    </w:p>
    <w:p w:rsidR="009535CE" w:rsidRPr="0034148C" w:rsidRDefault="009535CE" w:rsidP="009535CE">
      <w:pPr>
        <w:pStyle w:val="Heading2"/>
      </w:pPr>
      <w:bookmarkStart w:id="291" w:name="_Toc338572138"/>
      <w:bookmarkStart w:id="292" w:name="_Toc338717165"/>
      <w:bookmarkStart w:id="293" w:name="_Toc338750194"/>
      <w:bookmarkStart w:id="294" w:name="_Toc339368787"/>
      <w:r w:rsidRPr="0034148C">
        <w:t>7.1 Achievements of the program</w:t>
      </w:r>
      <w:bookmarkEnd w:id="291"/>
      <w:bookmarkEnd w:id="292"/>
      <w:bookmarkEnd w:id="293"/>
      <w:bookmarkEnd w:id="294"/>
    </w:p>
    <w:p w:rsidR="00F25968" w:rsidRPr="0034148C" w:rsidRDefault="00F25968" w:rsidP="00F25968">
      <w:r w:rsidRPr="0034148C">
        <w:t xml:space="preserve">All quantitative targets </w:t>
      </w:r>
      <w:proofErr w:type="gramStart"/>
      <w:r w:rsidRPr="0034148C">
        <w:t>were met</w:t>
      </w:r>
      <w:proofErr w:type="gramEnd"/>
      <w:r w:rsidRPr="0034148C">
        <w:t xml:space="preserve"> by the project. In some cases they </w:t>
      </w:r>
      <w:proofErr w:type="gramStart"/>
      <w:r w:rsidRPr="0034148C">
        <w:t>were, in fact, exceeded</w:t>
      </w:r>
      <w:proofErr w:type="gramEnd"/>
      <w:r w:rsidRPr="0034148C">
        <w:t xml:space="preserve"> by a significant amount in terms of the number of students involved in project activities and the amount of co-financing raised from schools for rehabilitation projects.</w:t>
      </w:r>
    </w:p>
    <w:p w:rsidR="00AA6378" w:rsidRPr="0034148C" w:rsidRDefault="00AA6378" w:rsidP="00AA6378">
      <w:r w:rsidRPr="0034148C">
        <w:t xml:space="preserve">Quantitative quotas were set for the student trainings with the project aiming for at least 1,000 IDP and non-IDP adolescents (500/500) to </w:t>
      </w:r>
      <w:proofErr w:type="gramStart"/>
      <w:r w:rsidRPr="0034148C">
        <w:t>be trained</w:t>
      </w:r>
      <w:proofErr w:type="gramEnd"/>
      <w:r w:rsidRPr="0034148C">
        <w:t xml:space="preserve"> in 'life skills'. According to the study </w:t>
      </w:r>
      <w:r w:rsidRPr="0034148C">
        <w:lastRenderedPageBreak/>
        <w:t xml:space="preserve">respondents, coordinators attempted to reach a balance between the IDPs and local </w:t>
      </w:r>
      <w:r w:rsidR="000A4BBF" w:rsidRPr="0034148C">
        <w:t>student</w:t>
      </w:r>
      <w:r w:rsidRPr="0034148C">
        <w:t xml:space="preserve">s. </w:t>
      </w:r>
      <w:proofErr w:type="gramStart"/>
      <w:r w:rsidRPr="0034148C">
        <w:t>However</w:t>
      </w:r>
      <w:proofErr w:type="gramEnd"/>
      <w:r w:rsidRPr="0034148C">
        <w:t xml:space="preserve"> it was impossible to achieve the desired balance due to the small number of IDP </w:t>
      </w:r>
      <w:r w:rsidR="000A4BBF" w:rsidRPr="0034148C">
        <w:t>student</w:t>
      </w:r>
      <w:r w:rsidRPr="0034148C">
        <w:t xml:space="preserve">s in the schools. Data derived from project documents (CONSENT progress report)  shows that the project overreached its goal in favor of local </w:t>
      </w:r>
      <w:r w:rsidR="000A4BBF" w:rsidRPr="0034148C">
        <w:t>student</w:t>
      </w:r>
      <w:r w:rsidRPr="0034148C">
        <w:t>s – instead of the target of 500 locals, a total of 5266 were trained, while instead of target of 500 IDPs, the project was able to involve 955 - still exceeding the target (Figure 7.1).</w:t>
      </w:r>
    </w:p>
    <w:p w:rsidR="00AA6378" w:rsidRPr="0034148C" w:rsidRDefault="00AA6378" w:rsidP="00BE585D">
      <w:pPr>
        <w:pStyle w:val="Heading5"/>
      </w:pPr>
      <w:bookmarkStart w:id="295" w:name="_Toc318710641"/>
      <w:bookmarkStart w:id="296" w:name="_Toc338571945"/>
      <w:bookmarkStart w:id="297" w:name="_Toc338717186"/>
      <w:bookmarkStart w:id="298" w:name="_Toc338750252"/>
      <w:bookmarkStart w:id="299" w:name="_Toc339368821"/>
      <w:r w:rsidRPr="0034148C">
        <w:t xml:space="preserve">Figure 7.1: Number of trained IDP and </w:t>
      </w:r>
      <w:r w:rsidR="0003523E" w:rsidRPr="0034148C">
        <w:t>l</w:t>
      </w:r>
      <w:r w:rsidRPr="0034148C">
        <w:t xml:space="preserve">ocal adolescents in </w:t>
      </w:r>
      <w:r w:rsidR="0003523E" w:rsidRPr="0034148C">
        <w:t>l</w:t>
      </w:r>
      <w:r w:rsidRPr="0034148C">
        <w:t>if</w:t>
      </w:r>
      <w:r w:rsidR="0003523E" w:rsidRPr="0034148C">
        <w:t>e s</w:t>
      </w:r>
      <w:r w:rsidRPr="0034148C">
        <w:t>kills</w:t>
      </w:r>
      <w:bookmarkEnd w:id="295"/>
      <w:bookmarkEnd w:id="296"/>
      <w:bookmarkEnd w:id="297"/>
      <w:bookmarkEnd w:id="298"/>
      <w:bookmarkEnd w:id="299"/>
    </w:p>
    <w:p w:rsidR="00AA6378" w:rsidRPr="0034148C" w:rsidRDefault="00AA6378" w:rsidP="00AA6378">
      <w:pPr>
        <w:pStyle w:val="ListParagraph"/>
        <w:numPr>
          <w:ilvl w:val="0"/>
          <w:numId w:val="5"/>
        </w:numPr>
        <w:spacing w:before="240"/>
        <w:rPr>
          <w:rFonts w:asciiTheme="majorHAnsi" w:hAnsiTheme="majorHAnsi"/>
        </w:rPr>
      </w:pPr>
      <w:r w:rsidRPr="0034148C">
        <w:rPr>
          <w:noProof/>
          <w:lang w:bidi="th-TH"/>
        </w:rPr>
        <w:drawing>
          <wp:inline distT="0" distB="0" distL="0" distR="0">
            <wp:extent cx="5857875" cy="3448050"/>
            <wp:effectExtent l="19050" t="0" r="9525"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A6378" w:rsidRPr="0034148C" w:rsidRDefault="002B3758" w:rsidP="002B3758">
      <w:pPr>
        <w:pStyle w:val="Figurenote"/>
      </w:pPr>
      <w:r>
        <w:tab/>
      </w:r>
      <w:proofErr w:type="gramStart"/>
      <w:r>
        <w:t>Source: Project monitoring database.</w:t>
      </w:r>
      <w:proofErr w:type="gramEnd"/>
    </w:p>
    <w:p w:rsidR="00F25968" w:rsidRPr="0034148C" w:rsidRDefault="00F25968" w:rsidP="00F25968">
      <w:pPr>
        <w:pStyle w:val="Heading2"/>
      </w:pPr>
      <w:bookmarkStart w:id="300" w:name="_Toc338572139"/>
      <w:bookmarkStart w:id="301" w:name="_Toc338717166"/>
      <w:bookmarkStart w:id="302" w:name="_Toc338750195"/>
      <w:bookmarkStart w:id="303" w:name="_Toc339368788"/>
      <w:r w:rsidRPr="0034148C">
        <w:t>7.2 Effectiveness of the life skills trainings</w:t>
      </w:r>
      <w:bookmarkEnd w:id="300"/>
      <w:bookmarkEnd w:id="301"/>
      <w:bookmarkEnd w:id="302"/>
      <w:bookmarkEnd w:id="303"/>
    </w:p>
    <w:p w:rsidR="00C21C6E" w:rsidRPr="0034148C" w:rsidRDefault="00C21C6E" w:rsidP="00C97BA8">
      <w:r w:rsidRPr="0034148C">
        <w:t xml:space="preserve">The overall assessment of the training intervention was very positive. All respondents included in the study said that trainings played the greatest role in terms of IDPs successfully integrating into their new schools </w:t>
      </w:r>
      <w:r w:rsidR="00BB356D" w:rsidRPr="0034148C">
        <w:t>and society</w:t>
      </w:r>
      <w:r w:rsidRPr="0034148C">
        <w:t xml:space="preserve">. Almost all study respondents mentioned that topics for the trainings </w:t>
      </w:r>
      <w:proofErr w:type="gramStart"/>
      <w:r w:rsidRPr="0034148C">
        <w:t>were very effectively and well selected</w:t>
      </w:r>
      <w:proofErr w:type="gramEnd"/>
      <w:r w:rsidRPr="0034148C">
        <w:t xml:space="preserve">. Hence, there was a high amount of interest in the trainings among adolescents and children. </w:t>
      </w:r>
      <w:proofErr w:type="gramStart"/>
      <w:r w:rsidR="00174164" w:rsidRPr="0034148C">
        <w:t>Several positive aspects were mentioned by the respondents</w:t>
      </w:r>
      <w:proofErr w:type="gramEnd"/>
      <w:r w:rsidR="00174164" w:rsidRPr="0034148C">
        <w:t xml:space="preserve"> that describes the beneficiaries’ attitudes towards the provided trainings. </w:t>
      </w:r>
      <w:r w:rsidRPr="0034148C">
        <w:t xml:space="preserve">Specifically, respondents mentioned the trainings helped to: </w:t>
      </w:r>
    </w:p>
    <w:p w:rsidR="00C21C6E" w:rsidRPr="0034148C" w:rsidRDefault="00C21C6E" w:rsidP="00BA2142">
      <w:pPr>
        <w:pStyle w:val="bulletedtext"/>
      </w:pPr>
      <w:r w:rsidRPr="0034148C">
        <w:t xml:space="preserve">increase </w:t>
      </w:r>
      <w:r w:rsidR="00C97BA8" w:rsidRPr="0034148C">
        <w:t xml:space="preserve">their </w:t>
      </w:r>
      <w:r w:rsidRPr="0034148C">
        <w:t>number of acquaintances in the school</w:t>
      </w:r>
      <w:r w:rsidR="00C97BA8" w:rsidRPr="0034148C">
        <w:t>;</w:t>
      </w:r>
    </w:p>
    <w:p w:rsidR="00C21C6E" w:rsidRPr="0034148C" w:rsidRDefault="00C21C6E" w:rsidP="00BA2142">
      <w:pPr>
        <w:pStyle w:val="bulletedtext"/>
      </w:pPr>
      <w:r w:rsidRPr="0034148C">
        <w:t>gain new knowledge and information regardi</w:t>
      </w:r>
      <w:r w:rsidR="00C97BA8" w:rsidRPr="0034148C">
        <w:t>ng different interesting topics;</w:t>
      </w:r>
    </w:p>
    <w:p w:rsidR="00C21C6E" w:rsidRPr="0034148C" w:rsidRDefault="00C21C6E" w:rsidP="00BA2142">
      <w:pPr>
        <w:pStyle w:val="bulletedtext"/>
      </w:pPr>
      <w:r w:rsidRPr="0034148C">
        <w:t xml:space="preserve">make passive </w:t>
      </w:r>
      <w:r w:rsidR="000A4BBF" w:rsidRPr="0034148C">
        <w:t>student</w:t>
      </w:r>
      <w:r w:rsidRPr="0034148C">
        <w:t>s more active</w:t>
      </w:r>
      <w:r w:rsidR="00C97BA8" w:rsidRPr="0034148C">
        <w:t>;</w:t>
      </w:r>
      <w:r w:rsidRPr="0034148C">
        <w:t xml:space="preserve"> </w:t>
      </w:r>
    </w:p>
    <w:p w:rsidR="00C21C6E" w:rsidRPr="0034148C" w:rsidRDefault="00C21C6E" w:rsidP="00BA2142">
      <w:pPr>
        <w:pStyle w:val="bulletedtext"/>
      </w:pPr>
      <w:r w:rsidRPr="0034148C">
        <w:lastRenderedPageBreak/>
        <w:t xml:space="preserve">gain critical life-skills such as learning how to express </w:t>
      </w:r>
      <w:r w:rsidR="00C97BA8" w:rsidRPr="0034148C">
        <w:t xml:space="preserve">opinions </w:t>
      </w:r>
      <w:r w:rsidRPr="0034148C">
        <w:t>freely</w:t>
      </w:r>
      <w:r w:rsidR="00C97BA8" w:rsidRPr="0034148C">
        <w:t>;</w:t>
      </w:r>
      <w:r w:rsidRPr="0034148C">
        <w:t xml:space="preserve"> </w:t>
      </w:r>
    </w:p>
    <w:p w:rsidR="00C21C6E" w:rsidRPr="0034148C" w:rsidRDefault="00C21C6E" w:rsidP="00BA2142">
      <w:pPr>
        <w:pStyle w:val="bulletedtext"/>
      </w:pPr>
      <w:r w:rsidRPr="0034148C">
        <w:t>develop listening skills and learn how to respect others</w:t>
      </w:r>
      <w:r w:rsidR="00C97BA8" w:rsidRPr="0034148C">
        <w:t>’</w:t>
      </w:r>
      <w:r w:rsidRPr="0034148C">
        <w:t xml:space="preserve"> opinions</w:t>
      </w:r>
      <w:r w:rsidR="00174164" w:rsidRPr="0034148C">
        <w:t>;</w:t>
      </w:r>
      <w:r w:rsidRPr="0034148C">
        <w:t xml:space="preserve"> </w:t>
      </w:r>
    </w:p>
    <w:p w:rsidR="00C21C6E" w:rsidRPr="0034148C" w:rsidRDefault="00C21C6E" w:rsidP="00BA2142">
      <w:pPr>
        <w:pStyle w:val="bulletedtext"/>
      </w:pPr>
      <w:r w:rsidRPr="0034148C">
        <w:t>learn the main principles of team work and develop experience in working in teams</w:t>
      </w:r>
      <w:r w:rsidR="00174164" w:rsidRPr="0034148C">
        <w:t>; and</w:t>
      </w:r>
    </w:p>
    <w:p w:rsidR="00C21C6E" w:rsidRPr="0034148C" w:rsidRDefault="00C21C6E" w:rsidP="00BA2142">
      <w:pPr>
        <w:pStyle w:val="bulletedtext"/>
      </w:pPr>
      <w:proofErr w:type="gramStart"/>
      <w:r w:rsidRPr="0034148C">
        <w:t>intensify</w:t>
      </w:r>
      <w:proofErr w:type="gramEnd"/>
      <w:r w:rsidRPr="0034148C">
        <w:t xml:space="preserve"> communications with schoolmates</w:t>
      </w:r>
      <w:r w:rsidR="00174164" w:rsidRPr="0034148C">
        <w:t>.</w:t>
      </w:r>
    </w:p>
    <w:p w:rsidR="003F6197" w:rsidRPr="0034148C" w:rsidRDefault="00174164" w:rsidP="00174164">
      <w:r w:rsidRPr="0034148C">
        <w:t>R</w:t>
      </w:r>
      <w:r w:rsidR="003F6197" w:rsidRPr="0034148C">
        <w:t xml:space="preserve">espondents </w:t>
      </w:r>
      <w:r w:rsidRPr="0034148C">
        <w:t xml:space="preserve">said that </w:t>
      </w:r>
      <w:r w:rsidR="003F6197" w:rsidRPr="0034148C">
        <w:t xml:space="preserve">both teachers’ and </w:t>
      </w:r>
      <w:r w:rsidR="000A4BBF" w:rsidRPr="0034148C">
        <w:t>student</w:t>
      </w:r>
      <w:r w:rsidR="003F6197" w:rsidRPr="0034148C">
        <w:t xml:space="preserve">s’ groups trainings were well organized. Involvement in the trainings reached its maximum desired level in most of the target schools (several interviewed trainers mentioned that almost 100% of the school </w:t>
      </w:r>
      <w:r w:rsidR="000A4BBF" w:rsidRPr="0034148C">
        <w:t>student</w:t>
      </w:r>
      <w:r w:rsidR="003F6197" w:rsidRPr="0034148C">
        <w:t>s from respective grades (6</w:t>
      </w:r>
      <w:r w:rsidR="003F6197" w:rsidRPr="0034148C">
        <w:rPr>
          <w:vertAlign w:val="superscript"/>
        </w:rPr>
        <w:t>th</w:t>
      </w:r>
      <w:r w:rsidR="003F6197" w:rsidRPr="0034148C">
        <w:t xml:space="preserve"> to 12</w:t>
      </w:r>
      <w:r w:rsidR="003F6197" w:rsidRPr="0034148C">
        <w:rPr>
          <w:vertAlign w:val="superscript"/>
        </w:rPr>
        <w:t>th</w:t>
      </w:r>
      <w:r w:rsidR="003F6197" w:rsidRPr="0034148C">
        <w:t xml:space="preserve">) attended at least one training). The vast majority of </w:t>
      </w:r>
      <w:r w:rsidR="000A4BBF" w:rsidRPr="0034148C">
        <w:t>student</w:t>
      </w:r>
      <w:r w:rsidR="003F6197" w:rsidRPr="0034148C">
        <w:t xml:space="preserve">s and teachers mentioned that interest towards the </w:t>
      </w:r>
      <w:r w:rsidR="00BB356D" w:rsidRPr="0034148C">
        <w:t>trainings had</w:t>
      </w:r>
      <w:r w:rsidR="003F6197" w:rsidRPr="0034148C">
        <w:t xml:space="preserve"> increased over time, and that the number of participants had increased too. </w:t>
      </w:r>
    </w:p>
    <w:p w:rsidR="00174164" w:rsidRPr="0034148C" w:rsidRDefault="003F6197" w:rsidP="00174164">
      <w:r w:rsidRPr="0034148C">
        <w:t xml:space="preserve">Furthermore, respondents mentioned that the venue for the trainings was comfortable and it was convenient for </w:t>
      </w:r>
      <w:r w:rsidR="000A4BBF" w:rsidRPr="0034148C">
        <w:t>student</w:t>
      </w:r>
      <w:r w:rsidRPr="0034148C">
        <w:t xml:space="preserve">s that school buildings </w:t>
      </w:r>
      <w:proofErr w:type="gramStart"/>
      <w:r w:rsidRPr="0034148C">
        <w:t>were chosen</w:t>
      </w:r>
      <w:proofErr w:type="gramEnd"/>
      <w:r w:rsidRPr="0034148C">
        <w:t xml:space="preserve"> for the venue. However, the CONSENT representative mentioned that one of the obstacles to </w:t>
      </w:r>
      <w:r w:rsidR="00BB356D" w:rsidRPr="0034148C">
        <w:t>achieving the</w:t>
      </w:r>
      <w:r w:rsidRPr="0034148C">
        <w:t xml:space="preserve"> desired balance between IDP and local </w:t>
      </w:r>
      <w:r w:rsidR="000A4BBF" w:rsidRPr="0034148C">
        <w:t>student</w:t>
      </w:r>
      <w:r w:rsidRPr="0034148C">
        <w:t xml:space="preserve">s in terms of participation in the trainings was a </w:t>
      </w:r>
      <w:r w:rsidR="00174164" w:rsidRPr="0034148C">
        <w:t>lack of transport.</w:t>
      </w:r>
    </w:p>
    <w:p w:rsidR="003F6197" w:rsidRPr="0034148C" w:rsidRDefault="003F6197" w:rsidP="00174164">
      <w:pPr>
        <w:pStyle w:val="Quote"/>
      </w:pPr>
      <w:r w:rsidRPr="0034148C">
        <w:t xml:space="preserve"> “… </w:t>
      </w:r>
      <w:proofErr w:type="gramStart"/>
      <w:r w:rsidRPr="0034148C">
        <w:t>we</w:t>
      </w:r>
      <w:proofErr w:type="gramEnd"/>
      <w:r w:rsidRPr="0034148C">
        <w:t xml:space="preserve"> were driving to the schools with our own car but it was the only car in most cases and we were limited to provide transportation service to only several IDPs, </w:t>
      </w:r>
      <w:r w:rsidR="00174164" w:rsidRPr="0034148C">
        <w:t xml:space="preserve">a </w:t>
      </w:r>
      <w:r w:rsidRPr="0034148C">
        <w:t>max</w:t>
      </w:r>
      <w:r w:rsidR="00174164" w:rsidRPr="0034148C">
        <w:t>imum of</w:t>
      </w:r>
      <w:r w:rsidRPr="0034148C">
        <w:t xml:space="preserve"> 3-4. The majority were not able to attend the training regardless of their wish to participate due to transport problems as the settlement where IDPs live are quite far from the schools and not all schools own transport…” </w:t>
      </w:r>
    </w:p>
    <w:p w:rsidR="003F6197" w:rsidRPr="0034148C" w:rsidRDefault="003F6197" w:rsidP="00174164">
      <w:r w:rsidRPr="0034148C">
        <w:t xml:space="preserve">The representative also mentioned that in some cases the timing of the trainings was not convenient for the </w:t>
      </w:r>
      <w:r w:rsidR="000A4BBF" w:rsidRPr="0034148C">
        <w:t>student</w:t>
      </w:r>
      <w:r w:rsidRPr="0034148C">
        <w:t xml:space="preserve">s. Most of the training sessions </w:t>
      </w:r>
      <w:proofErr w:type="gramStart"/>
      <w:r w:rsidRPr="0034148C">
        <w:t>were provided</w:t>
      </w:r>
      <w:proofErr w:type="gramEnd"/>
      <w:r w:rsidRPr="0034148C">
        <w:t xml:space="preserve"> during the weekends and there were </w:t>
      </w:r>
      <w:r w:rsidR="000A4BBF" w:rsidRPr="0034148C">
        <w:t>student</w:t>
      </w:r>
      <w:r w:rsidRPr="0034148C">
        <w:t xml:space="preserve">s who were not able to visit the schools for the weekend due to other commitments and / or personal problems.   </w:t>
      </w:r>
    </w:p>
    <w:p w:rsidR="003F6197" w:rsidRPr="0034148C" w:rsidRDefault="00174164" w:rsidP="00174164">
      <w:r w:rsidRPr="0034148C">
        <w:t>Four</w:t>
      </w:r>
      <w:r w:rsidR="003F6197" w:rsidRPr="0034148C">
        <w:t xml:space="preserve"> </w:t>
      </w:r>
      <w:r w:rsidR="000A4BBF" w:rsidRPr="0034148C">
        <w:t>student</w:t>
      </w:r>
      <w:r w:rsidR="003F6197" w:rsidRPr="0034148C">
        <w:t xml:space="preserve">s (2 IDPs and 2 locals) </w:t>
      </w:r>
      <w:proofErr w:type="gramStart"/>
      <w:r w:rsidR="003F6197" w:rsidRPr="0034148C">
        <w:t>were selected</w:t>
      </w:r>
      <w:proofErr w:type="gramEnd"/>
      <w:r w:rsidR="003F6197" w:rsidRPr="0034148C">
        <w:t xml:space="preserve"> in each of the target schools to participate in </w:t>
      </w:r>
      <w:r w:rsidR="00BB356D" w:rsidRPr="0034148C">
        <w:t>a training</w:t>
      </w:r>
      <w:r w:rsidR="003F6197" w:rsidRPr="0034148C">
        <w:t xml:space="preserve"> of trainers (ToT). Trainers </w:t>
      </w:r>
      <w:proofErr w:type="gramStart"/>
      <w:r w:rsidR="003F6197" w:rsidRPr="0034148C">
        <w:t>were selected</w:t>
      </w:r>
      <w:proofErr w:type="gramEnd"/>
      <w:r w:rsidR="003F6197" w:rsidRPr="0034148C">
        <w:t xml:space="preserve"> through testing. </w:t>
      </w:r>
      <w:proofErr w:type="gramStart"/>
      <w:r w:rsidR="003F6197" w:rsidRPr="0034148C">
        <w:t>The test (</w:t>
      </w:r>
      <w:r w:rsidRPr="0034148C">
        <w:t xml:space="preserve">a </w:t>
      </w:r>
      <w:r w:rsidR="003F6197" w:rsidRPr="0034148C">
        <w:t>set of several questions) was developed by a psychologist</w:t>
      </w:r>
      <w:proofErr w:type="gramEnd"/>
      <w:r w:rsidR="003F6197" w:rsidRPr="0034148C">
        <w:t xml:space="preserve"> and afterwards test results were analyzed by a specialist (also a psychologist).  According to the study </w:t>
      </w:r>
      <w:proofErr w:type="gramStart"/>
      <w:r w:rsidR="003F6197" w:rsidRPr="0034148C">
        <w:t>respondents</w:t>
      </w:r>
      <w:proofErr w:type="gramEnd"/>
      <w:r w:rsidR="003F6197" w:rsidRPr="0034148C">
        <w:t xml:space="preserve"> all </w:t>
      </w:r>
      <w:r w:rsidR="000A4BBF" w:rsidRPr="0034148C">
        <w:t>student</w:t>
      </w:r>
      <w:r w:rsidR="003F6197" w:rsidRPr="0034148C">
        <w:t>s were given the chance to take part in the testing process. As a result</w:t>
      </w:r>
      <w:r w:rsidRPr="0034148C">
        <w:t>,</w:t>
      </w:r>
      <w:r w:rsidR="003F6197" w:rsidRPr="0034148C">
        <w:t xml:space="preserve"> 30 IDP</w:t>
      </w:r>
      <w:r w:rsidRPr="0034148C">
        <w:t>s</w:t>
      </w:r>
      <w:r w:rsidR="003F6197" w:rsidRPr="0034148C">
        <w:t xml:space="preserve"> and 30 local </w:t>
      </w:r>
      <w:r w:rsidR="000A4BBF" w:rsidRPr="0034148C">
        <w:t>student</w:t>
      </w:r>
      <w:r w:rsidR="003F6197" w:rsidRPr="0034148C">
        <w:t xml:space="preserve">s </w:t>
      </w:r>
      <w:proofErr w:type="gramStart"/>
      <w:r w:rsidR="003F6197" w:rsidRPr="0034148C">
        <w:t>were selected</w:t>
      </w:r>
      <w:proofErr w:type="gramEnd"/>
      <w:r w:rsidR="003F6197" w:rsidRPr="0034148C">
        <w:t xml:space="preserve"> who were trained as trainers. </w:t>
      </w:r>
    </w:p>
    <w:p w:rsidR="003F6197" w:rsidRPr="0034148C" w:rsidRDefault="003F6197" w:rsidP="00174164">
      <w:r w:rsidRPr="0034148C">
        <w:t xml:space="preserve">According to the CONSENT representative, the selection process faced one major problem in several schools. Namely, that due to the small number of IDP </w:t>
      </w:r>
      <w:r w:rsidR="000A4BBF" w:rsidRPr="0034148C">
        <w:t>student</w:t>
      </w:r>
      <w:r w:rsidRPr="0034148C">
        <w:t xml:space="preserve">s in those schools, CONSENT </w:t>
      </w:r>
      <w:proofErr w:type="gramStart"/>
      <w:r w:rsidRPr="0034148C">
        <w:t>was forced</w:t>
      </w:r>
      <w:proofErr w:type="gramEnd"/>
      <w:r w:rsidRPr="0034148C">
        <w:t xml:space="preserve"> to select trainers from those IDPs who were available regardless of their test results. This fact (less skilled trainers) prevented the respective schools from gaining the maximum outcome from this intervention. </w:t>
      </w:r>
      <w:proofErr w:type="gramStart"/>
      <w:r w:rsidR="00AA6378" w:rsidRPr="0034148C">
        <w:t>Also</w:t>
      </w:r>
      <w:proofErr w:type="gramEnd"/>
      <w:r w:rsidR="00AA6378" w:rsidRPr="0034148C">
        <w:t xml:space="preserve">, </w:t>
      </w:r>
      <w:r w:rsidRPr="0034148C">
        <w:t xml:space="preserve">there were instances where the project needed to </w:t>
      </w:r>
      <w:r w:rsidR="00BB356D" w:rsidRPr="0034148C">
        <w:t>replace trainers</w:t>
      </w:r>
      <w:r w:rsidRPr="0034148C">
        <w:t xml:space="preserve">. As a result, about 10 IDP trainers out of the selected 30 </w:t>
      </w:r>
      <w:proofErr w:type="gramStart"/>
      <w:r w:rsidRPr="0034148C">
        <w:t>were replaced</w:t>
      </w:r>
      <w:proofErr w:type="gramEnd"/>
      <w:r w:rsidRPr="0034148C">
        <w:t xml:space="preserve"> during the lifetime of the project implementation. CONSENT considers that this had a negative impact on the project.</w:t>
      </w:r>
    </w:p>
    <w:p w:rsidR="0003523E" w:rsidRPr="0034148C" w:rsidRDefault="00AA6378" w:rsidP="0003523E">
      <w:r w:rsidRPr="0034148C">
        <w:lastRenderedPageBreak/>
        <w:t>No</w:t>
      </w:r>
      <w:r w:rsidR="003F6197" w:rsidRPr="0034148C">
        <w:t xml:space="preserve"> selection criteria </w:t>
      </w:r>
      <w:proofErr w:type="gramStart"/>
      <w:r w:rsidR="007D32FD" w:rsidRPr="0034148C">
        <w:t>were developed</w:t>
      </w:r>
      <w:proofErr w:type="gramEnd"/>
      <w:r w:rsidRPr="0034148C">
        <w:t xml:space="preserve"> for the </w:t>
      </w:r>
      <w:r w:rsidR="00743485" w:rsidRPr="0034148C">
        <w:t>schoolchildren</w:t>
      </w:r>
      <w:r w:rsidRPr="0034148C">
        <w:t xml:space="preserve"> tra</w:t>
      </w:r>
      <w:r w:rsidR="0003523E" w:rsidRPr="0034148C">
        <w:t>i</w:t>
      </w:r>
      <w:r w:rsidRPr="0034148C">
        <w:t>nings; a</w:t>
      </w:r>
      <w:r w:rsidR="003F6197" w:rsidRPr="0034148C">
        <w:t xml:space="preserve">ny </w:t>
      </w:r>
      <w:r w:rsidR="000A4BBF" w:rsidRPr="0034148C">
        <w:t>student</w:t>
      </w:r>
      <w:r w:rsidR="003F6197" w:rsidRPr="0034148C">
        <w:t xml:space="preserve"> who expressed a willingness to participate could attend. </w:t>
      </w:r>
      <w:r w:rsidR="0003523E" w:rsidRPr="0034148C">
        <w:t>S</w:t>
      </w:r>
      <w:r w:rsidR="003F6197" w:rsidRPr="0034148C">
        <w:t>chool personnel were successful in attracting and involving sufficient number of IDPs in the trainings</w:t>
      </w:r>
      <w:r w:rsidR="0003523E" w:rsidRPr="0034148C">
        <w:t xml:space="preserve">, although there were a great many </w:t>
      </w:r>
      <w:proofErr w:type="gramStart"/>
      <w:r w:rsidR="0003523E" w:rsidRPr="0034148C">
        <w:t>more local</w:t>
      </w:r>
      <w:proofErr w:type="gramEnd"/>
      <w:r w:rsidR="0003523E" w:rsidRPr="0034148C">
        <w:t xml:space="preserve"> students</w:t>
      </w:r>
      <w:r w:rsidR="003F6197" w:rsidRPr="0034148C">
        <w:t xml:space="preserve">. One respondent in </w:t>
      </w:r>
      <w:r w:rsidR="0003523E" w:rsidRPr="0034148C">
        <w:t xml:space="preserve">the </w:t>
      </w:r>
      <w:r w:rsidR="003F6197" w:rsidRPr="0034148C">
        <w:t xml:space="preserve">adolescents’ group mentioned that the imbalance between IDPs and </w:t>
      </w:r>
      <w:r w:rsidR="0003523E" w:rsidRPr="0034148C">
        <w:t>l</w:t>
      </w:r>
      <w:r w:rsidR="003F6197" w:rsidRPr="0034148C">
        <w:t xml:space="preserve">ocals had a positive effect: IDP </w:t>
      </w:r>
      <w:r w:rsidR="000A4BBF" w:rsidRPr="0034148C">
        <w:t>student</w:t>
      </w:r>
      <w:r w:rsidR="003F6197" w:rsidRPr="0034148C">
        <w:t xml:space="preserve">s </w:t>
      </w:r>
      <w:proofErr w:type="gramStart"/>
      <w:r w:rsidR="003F6197" w:rsidRPr="0034148C">
        <w:t>were placed</w:t>
      </w:r>
      <w:proofErr w:type="gramEnd"/>
      <w:r w:rsidR="003F6197" w:rsidRPr="0034148C">
        <w:t xml:space="preserve"> in more complex social environments where local children exceeded them in numbers, and this gave them the opportunity to learn how </w:t>
      </w:r>
      <w:r w:rsidR="007D32FD" w:rsidRPr="0034148C">
        <w:t>to survive</w:t>
      </w:r>
      <w:r w:rsidR="003F6197" w:rsidRPr="0034148C">
        <w:t xml:space="preserve"> in such settings</w:t>
      </w:r>
      <w:r w:rsidR="007D32FD" w:rsidRPr="0034148C">
        <w:t>, with</w:t>
      </w:r>
      <w:r w:rsidR="003F6197" w:rsidRPr="0034148C">
        <w:t xml:space="preserve"> the help of </w:t>
      </w:r>
      <w:r w:rsidR="0003523E" w:rsidRPr="0034148C">
        <w:t xml:space="preserve">the </w:t>
      </w:r>
      <w:r w:rsidR="003F6197" w:rsidRPr="0034148C">
        <w:t>trainers</w:t>
      </w:r>
      <w:r w:rsidR="0003523E" w:rsidRPr="0034148C">
        <w:t xml:space="preserve">. </w:t>
      </w:r>
    </w:p>
    <w:p w:rsidR="003F6197" w:rsidRPr="0034148C" w:rsidRDefault="003F6197" w:rsidP="0003523E">
      <w:pPr>
        <w:pStyle w:val="Quote"/>
      </w:pPr>
      <w:r w:rsidRPr="0034148C">
        <w:t>“…as a result of participation in the trainings</w:t>
      </w:r>
      <w:r w:rsidR="0003523E" w:rsidRPr="0034148C">
        <w:t>,</w:t>
      </w:r>
      <w:r w:rsidRPr="0034148C">
        <w:t xml:space="preserve"> one of the IDP </w:t>
      </w:r>
      <w:r w:rsidR="000A4BBF" w:rsidRPr="0034148C">
        <w:t>student</w:t>
      </w:r>
      <w:r w:rsidRPr="0034148C">
        <w:t>s become so active and self-confident that later he became the leader in the school</w:t>
      </w:r>
      <w:r w:rsidR="0003523E" w:rsidRPr="0034148C">
        <w:t>,</w:t>
      </w:r>
      <w:r w:rsidRPr="0034148C">
        <w:t xml:space="preserve"> whose opinion was highly respected and to whom others were referring with advice…”      </w:t>
      </w:r>
    </w:p>
    <w:p w:rsidR="003F6197" w:rsidRPr="0034148C" w:rsidRDefault="003F6197" w:rsidP="0003523E">
      <w:r w:rsidRPr="0034148C">
        <w:t xml:space="preserve">Some of the respondents mentioned that it was difficult to work with small children (6-7 grades). They consider that some of the training topics were too difficult for them to understand and analyze. According to one of the </w:t>
      </w:r>
      <w:proofErr w:type="gramStart"/>
      <w:r w:rsidRPr="0034148C">
        <w:t>trainers</w:t>
      </w:r>
      <w:proofErr w:type="gramEnd"/>
      <w:r w:rsidRPr="0034148C">
        <w:t xml:space="preserve"> it was very difficult for him to keep 6</w:t>
      </w:r>
      <w:r w:rsidRPr="0034148C">
        <w:rPr>
          <w:vertAlign w:val="superscript"/>
        </w:rPr>
        <w:t>th</w:t>
      </w:r>
      <w:r w:rsidRPr="0034148C">
        <w:t xml:space="preserve"> grade </w:t>
      </w:r>
      <w:r w:rsidR="000A4BBF" w:rsidRPr="0034148C">
        <w:t>student</w:t>
      </w:r>
      <w:r w:rsidRPr="0034148C">
        <w:t>s calm during the whole session of the training and to encourage them to listen to the trainer. However, the CONSENT representative expressed an alternative view</w:t>
      </w:r>
      <w:r w:rsidR="008758D1" w:rsidRPr="0034148C">
        <w:t>, maintaining that</w:t>
      </w:r>
      <w:r w:rsidRPr="0034148C">
        <w:t xml:space="preserve"> the training curriculum was adapted to the different age groups to make it easier for each </w:t>
      </w:r>
      <w:r w:rsidR="00743485" w:rsidRPr="0034148C">
        <w:t>age group</w:t>
      </w:r>
      <w:r w:rsidRPr="0034148C">
        <w:t xml:space="preserve"> to understand the content.  Moreover, the CONSENT representative considers that 6-7 grade </w:t>
      </w:r>
      <w:r w:rsidR="000A4BBF" w:rsidRPr="0034148C">
        <w:t>student</w:t>
      </w:r>
      <w:r w:rsidRPr="0034148C">
        <w:t xml:space="preserve">s were actively involved in the trainings and maximum honesty </w:t>
      </w:r>
      <w:proofErr w:type="gramStart"/>
      <w:r w:rsidRPr="0034148C">
        <w:t>was reached</w:t>
      </w:r>
      <w:proofErr w:type="gramEnd"/>
      <w:r w:rsidRPr="0034148C">
        <w:t xml:space="preserve"> in their groups.  </w:t>
      </w:r>
    </w:p>
    <w:p w:rsidR="00D35B09" w:rsidRPr="0034148C" w:rsidRDefault="003F6197" w:rsidP="00D35B09">
      <w:r w:rsidRPr="0034148C">
        <w:t xml:space="preserve">Almost all </w:t>
      </w:r>
      <w:r w:rsidR="00D35B09" w:rsidRPr="0034148C">
        <w:t xml:space="preserve">of the </w:t>
      </w:r>
      <w:r w:rsidRPr="0034148C">
        <w:t xml:space="preserve">study respondents mentioned that topics for the trainings were very effective and well selected. Because of this, there </w:t>
      </w:r>
      <w:r w:rsidR="00BB356D" w:rsidRPr="0034148C">
        <w:t>was a</w:t>
      </w:r>
      <w:r w:rsidRPr="0034148C">
        <w:t xml:space="preserve"> high level of interest in the trainings among adolescents and children. </w:t>
      </w:r>
      <w:r w:rsidR="00D35B09" w:rsidRPr="0034148C">
        <w:t xml:space="preserve">Youth said that they </w:t>
      </w:r>
      <w:r w:rsidRPr="0034148C">
        <w:t>gain</w:t>
      </w:r>
      <w:r w:rsidR="00D35B09" w:rsidRPr="0034148C">
        <w:t>ed</w:t>
      </w:r>
      <w:r w:rsidRPr="0034148C">
        <w:t xml:space="preserve"> additional </w:t>
      </w:r>
      <w:r w:rsidR="00D35B09" w:rsidRPr="0034148C">
        <w:t>and</w:t>
      </w:r>
      <w:r w:rsidRPr="0034148C">
        <w:t xml:space="preserve"> new knowledge around particular topics. </w:t>
      </w:r>
    </w:p>
    <w:p w:rsidR="003F6197" w:rsidRPr="0034148C" w:rsidRDefault="003F6197" w:rsidP="00D35B09">
      <w:r w:rsidRPr="0034148C">
        <w:t>Increase</w:t>
      </w:r>
      <w:r w:rsidR="00D35B09" w:rsidRPr="0034148C">
        <w:t>s</w:t>
      </w:r>
      <w:r w:rsidRPr="0034148C">
        <w:t xml:space="preserve"> in knowledge </w:t>
      </w:r>
      <w:proofErr w:type="gramStart"/>
      <w:r w:rsidRPr="0034148C">
        <w:t>w</w:t>
      </w:r>
      <w:r w:rsidR="00D35B09" w:rsidRPr="0034148C">
        <w:t>ere</w:t>
      </w:r>
      <w:r w:rsidRPr="0034148C">
        <w:t xml:space="preserve"> assessed</w:t>
      </w:r>
      <w:proofErr w:type="gramEnd"/>
      <w:r w:rsidRPr="0034148C">
        <w:t xml:space="preserve"> through pre</w:t>
      </w:r>
      <w:r w:rsidR="00D35B09" w:rsidRPr="0034148C">
        <w:t>-</w:t>
      </w:r>
      <w:r w:rsidRPr="0034148C">
        <w:t xml:space="preserve"> and post</w:t>
      </w:r>
      <w:r w:rsidR="00D35B09" w:rsidRPr="0034148C">
        <w:t>-</w:t>
      </w:r>
      <w:r w:rsidRPr="0034148C">
        <w:t xml:space="preserve">tests administered to all training participants. </w:t>
      </w:r>
      <w:r w:rsidR="00D35B09" w:rsidRPr="0034148C">
        <w:t xml:space="preserve">The </w:t>
      </w:r>
      <w:r w:rsidRPr="0034148C">
        <w:t xml:space="preserve">tests </w:t>
      </w:r>
      <w:r w:rsidR="00D35B09" w:rsidRPr="0034148C">
        <w:t>asked</w:t>
      </w:r>
      <w:r w:rsidRPr="0034148C">
        <w:t xml:space="preserve"> exactly the same questions </w:t>
      </w:r>
      <w:r w:rsidR="00106D76" w:rsidRPr="0034148C">
        <w:t>before and after each training session</w:t>
      </w:r>
      <w:r w:rsidRPr="0034148C">
        <w:t xml:space="preserve">.  </w:t>
      </w:r>
      <w:r w:rsidR="00106D76" w:rsidRPr="0034148C">
        <w:t xml:space="preserve">The results </w:t>
      </w:r>
      <w:r w:rsidRPr="0034148C">
        <w:t xml:space="preserve">indicate an increase in knowledge </w:t>
      </w:r>
      <w:r w:rsidR="00BB356D" w:rsidRPr="0034148C">
        <w:t>for each</w:t>
      </w:r>
      <w:r w:rsidRPr="0034148C">
        <w:t xml:space="preserve"> training module. </w:t>
      </w:r>
      <w:r w:rsidR="00106D76" w:rsidRPr="0034148C">
        <w:t>T</w:t>
      </w:r>
      <w:r w:rsidRPr="0034148C">
        <w:t>he degree of increase in knowledge</w:t>
      </w:r>
      <w:r w:rsidR="00106D76" w:rsidRPr="0034148C">
        <w:t xml:space="preserve"> </w:t>
      </w:r>
      <w:proofErr w:type="gramStart"/>
      <w:r w:rsidR="00106D76" w:rsidRPr="0034148C">
        <w:t>is related</w:t>
      </w:r>
      <w:proofErr w:type="gramEnd"/>
      <w:r w:rsidR="00106D76" w:rsidRPr="0034148C">
        <w:t xml:space="preserve"> to</w:t>
      </w:r>
      <w:r w:rsidRPr="0034148C">
        <w:t xml:space="preserve"> the extent th</w:t>
      </w:r>
      <w:r w:rsidR="00106D76" w:rsidRPr="0034148C">
        <w:t>at</w:t>
      </w:r>
      <w:r w:rsidRPr="0034148C">
        <w:t xml:space="preserve"> participants were aware of the topic before the training. For a topic that was absolutely new for the</w:t>
      </w:r>
      <w:r w:rsidR="00106D76" w:rsidRPr="0034148C">
        <w:t xml:space="preserve"> students</w:t>
      </w:r>
      <w:r w:rsidRPr="0034148C">
        <w:t xml:space="preserve">, such as gender, </w:t>
      </w:r>
      <w:r w:rsidR="00106D76" w:rsidRPr="0034148C">
        <w:t xml:space="preserve">the differences </w:t>
      </w:r>
      <w:r w:rsidRPr="0034148C">
        <w:t xml:space="preserve">between </w:t>
      </w:r>
      <w:r w:rsidR="00106D76" w:rsidRPr="0034148C">
        <w:t xml:space="preserve">the pre- </w:t>
      </w:r>
      <w:r w:rsidRPr="0034148C">
        <w:t>and post</w:t>
      </w:r>
      <w:r w:rsidR="00106D76" w:rsidRPr="0034148C">
        <w:t>-</w:t>
      </w:r>
      <w:r w:rsidRPr="0034148C">
        <w:t xml:space="preserve"> traini</w:t>
      </w:r>
      <w:r w:rsidR="00106D76" w:rsidRPr="0034148C">
        <w:t>ng test results was very high: while</w:t>
      </w:r>
      <w:r w:rsidRPr="0034148C">
        <w:t xml:space="preserve"> the mean score during the pre test was close to zero, </w:t>
      </w:r>
      <w:r w:rsidR="00106D76" w:rsidRPr="0034148C">
        <w:t xml:space="preserve">the </w:t>
      </w:r>
      <w:r w:rsidRPr="0034148C">
        <w:t>post test showed</w:t>
      </w:r>
      <w:r w:rsidR="00106D76" w:rsidRPr="0034148C">
        <w:t xml:space="preserve"> the</w:t>
      </w:r>
      <w:r w:rsidRPr="0034148C">
        <w:t xml:space="preserve"> maximum </w:t>
      </w:r>
      <w:r w:rsidR="00106D76" w:rsidRPr="0034148C">
        <w:t xml:space="preserve">degree of change </w:t>
      </w:r>
      <w:r w:rsidRPr="0034148C">
        <w:t xml:space="preserve">(close to 100%).  Figures </w:t>
      </w:r>
      <w:r w:rsidR="00106D76" w:rsidRPr="0034148C">
        <w:t>7.</w:t>
      </w:r>
      <w:r w:rsidRPr="0034148C">
        <w:t>2-</w:t>
      </w:r>
      <w:r w:rsidR="00106D76" w:rsidRPr="0034148C">
        <w:t>7.</w:t>
      </w:r>
      <w:r w:rsidR="000A4BBF" w:rsidRPr="0034148C">
        <w:t>5</w:t>
      </w:r>
      <w:r w:rsidRPr="0034148C">
        <w:t xml:space="preserve"> below shows </w:t>
      </w:r>
      <w:r w:rsidR="00106D76" w:rsidRPr="0034148C">
        <w:t xml:space="preserve">the success </w:t>
      </w:r>
      <w:r w:rsidRPr="0034148C">
        <w:t xml:space="preserve">of </w:t>
      </w:r>
      <w:r w:rsidR="00106D76" w:rsidRPr="0034148C">
        <w:t xml:space="preserve">the </w:t>
      </w:r>
      <w:r w:rsidRPr="0034148C">
        <w:t>provided trainings</w:t>
      </w:r>
      <w:r w:rsidR="00106D76" w:rsidRPr="0034148C">
        <w:t xml:space="preserve"> according to the </w:t>
      </w:r>
      <w:r w:rsidRPr="0034148C">
        <w:t xml:space="preserve">test results for some of the selected modules.  </w:t>
      </w:r>
    </w:p>
    <w:p w:rsidR="003F6197" w:rsidRPr="0034148C" w:rsidRDefault="003F6197" w:rsidP="00BE585D">
      <w:pPr>
        <w:pStyle w:val="Heading5"/>
      </w:pPr>
      <w:bookmarkStart w:id="304" w:name="_Toc318710642"/>
      <w:bookmarkStart w:id="305" w:name="_Toc338571946"/>
      <w:bookmarkStart w:id="306" w:name="_Toc338717187"/>
      <w:bookmarkStart w:id="307" w:name="_Toc338750253"/>
      <w:bookmarkStart w:id="308" w:name="_Toc339368822"/>
      <w:r w:rsidRPr="0034148C">
        <w:lastRenderedPageBreak/>
        <w:t xml:space="preserve">Figure </w:t>
      </w:r>
      <w:r w:rsidR="00907E0C" w:rsidRPr="0034148C">
        <w:t>7.</w:t>
      </w:r>
      <w:r w:rsidRPr="0034148C">
        <w:t>2: Share of correctly answered questions for Life Skills training module 3,</w:t>
      </w:r>
      <w:bookmarkEnd w:id="304"/>
      <w:r w:rsidRPr="0034148C">
        <w:t xml:space="preserve"> </w:t>
      </w:r>
      <w:bookmarkStart w:id="309" w:name="_Toc318710643"/>
      <w:r w:rsidRPr="0034148C">
        <w:t>Pre-test vs. Post-test results (N=1035)</w:t>
      </w:r>
      <w:bookmarkEnd w:id="305"/>
      <w:bookmarkEnd w:id="306"/>
      <w:bookmarkEnd w:id="307"/>
      <w:bookmarkEnd w:id="308"/>
      <w:bookmarkEnd w:id="309"/>
    </w:p>
    <w:p w:rsidR="003F6197" w:rsidRPr="0034148C" w:rsidRDefault="003F6197" w:rsidP="003F6197">
      <w:pPr>
        <w:pStyle w:val="ListParagraph"/>
        <w:numPr>
          <w:ilvl w:val="0"/>
          <w:numId w:val="5"/>
        </w:numPr>
        <w:rPr>
          <w:rFonts w:asciiTheme="majorHAnsi" w:hAnsiTheme="majorHAnsi"/>
        </w:rPr>
      </w:pPr>
      <w:r w:rsidRPr="0034148C">
        <w:rPr>
          <w:noProof/>
          <w:lang w:bidi="th-TH"/>
        </w:rPr>
        <w:drawing>
          <wp:inline distT="0" distB="0" distL="0" distR="0">
            <wp:extent cx="5572125" cy="2533650"/>
            <wp:effectExtent l="19050" t="0" r="9525"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F6197" w:rsidRPr="0034148C" w:rsidRDefault="005302C9" w:rsidP="005302C9">
      <w:pPr>
        <w:pStyle w:val="Figurenote"/>
      </w:pPr>
      <w:r>
        <w:tab/>
      </w:r>
      <w:proofErr w:type="gramStart"/>
      <w:r>
        <w:t>Source: Project progress reports.</w:t>
      </w:r>
      <w:proofErr w:type="gramEnd"/>
    </w:p>
    <w:p w:rsidR="003F6197" w:rsidRPr="0034148C" w:rsidRDefault="003F6197" w:rsidP="00BE585D">
      <w:pPr>
        <w:pStyle w:val="Heading5"/>
      </w:pPr>
      <w:bookmarkStart w:id="310" w:name="_Toc318710644"/>
      <w:bookmarkStart w:id="311" w:name="_Toc338571947"/>
      <w:bookmarkStart w:id="312" w:name="_Toc338717188"/>
      <w:bookmarkStart w:id="313" w:name="_Toc338750254"/>
      <w:bookmarkStart w:id="314" w:name="_Toc339368823"/>
      <w:r w:rsidRPr="0034148C">
        <w:t xml:space="preserve">Figure </w:t>
      </w:r>
      <w:r w:rsidR="00907E0C" w:rsidRPr="0034148C">
        <w:t>7.</w:t>
      </w:r>
      <w:r w:rsidRPr="0034148C">
        <w:t>3: Share of correctly answered questions for Life Skills training module 4,</w:t>
      </w:r>
      <w:bookmarkEnd w:id="310"/>
      <w:r w:rsidRPr="0034148C">
        <w:t xml:space="preserve"> </w:t>
      </w:r>
      <w:bookmarkStart w:id="315" w:name="_Toc318710645"/>
      <w:r w:rsidRPr="0034148C">
        <w:t>Pre-test vs. Post-test results (N=841)</w:t>
      </w:r>
      <w:bookmarkEnd w:id="311"/>
      <w:bookmarkEnd w:id="312"/>
      <w:bookmarkEnd w:id="313"/>
      <w:bookmarkEnd w:id="314"/>
      <w:bookmarkEnd w:id="315"/>
    </w:p>
    <w:p w:rsidR="003F6197" w:rsidRPr="0034148C" w:rsidRDefault="005302C9" w:rsidP="003F6197">
      <w:pPr>
        <w:pStyle w:val="ListParagraph"/>
        <w:numPr>
          <w:ilvl w:val="0"/>
          <w:numId w:val="5"/>
        </w:numPr>
        <w:rPr>
          <w:rFonts w:asciiTheme="majorHAnsi" w:hAnsiTheme="majorHAnsi"/>
        </w:rPr>
      </w:pPr>
      <w:r w:rsidRPr="0034148C">
        <w:rPr>
          <w:noProof/>
          <w:lang w:bidi="th-TH"/>
        </w:rPr>
        <w:drawing>
          <wp:inline distT="0" distB="0" distL="0" distR="0">
            <wp:extent cx="5514975" cy="2743200"/>
            <wp:effectExtent l="19050" t="0" r="9525" b="0"/>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302C9" w:rsidRPr="0034148C" w:rsidRDefault="005302C9" w:rsidP="005302C9">
      <w:pPr>
        <w:pStyle w:val="Figurenote"/>
        <w:numPr>
          <w:ilvl w:val="0"/>
          <w:numId w:val="5"/>
        </w:numPr>
      </w:pPr>
      <w:proofErr w:type="gramStart"/>
      <w:r>
        <w:t>Source: Project progress reports.</w:t>
      </w:r>
      <w:proofErr w:type="gramEnd"/>
    </w:p>
    <w:p w:rsidR="003F6197" w:rsidRPr="0034148C" w:rsidRDefault="003F6197" w:rsidP="003F6197">
      <w:pPr>
        <w:pStyle w:val="ListParagraph"/>
        <w:numPr>
          <w:ilvl w:val="0"/>
          <w:numId w:val="5"/>
        </w:numPr>
        <w:rPr>
          <w:rFonts w:asciiTheme="majorHAnsi" w:hAnsiTheme="majorHAnsi"/>
        </w:rPr>
      </w:pPr>
    </w:p>
    <w:p w:rsidR="003F6197" w:rsidRPr="0034148C" w:rsidRDefault="003F6197" w:rsidP="00BE585D">
      <w:pPr>
        <w:pStyle w:val="Heading5"/>
      </w:pPr>
      <w:bookmarkStart w:id="316" w:name="_Toc318710646"/>
      <w:bookmarkStart w:id="317" w:name="_Toc338571948"/>
      <w:bookmarkStart w:id="318" w:name="_Toc338717189"/>
      <w:bookmarkStart w:id="319" w:name="_Toc338750255"/>
      <w:bookmarkStart w:id="320" w:name="_Toc339368824"/>
      <w:r w:rsidRPr="0034148C">
        <w:lastRenderedPageBreak/>
        <w:t xml:space="preserve">Figure </w:t>
      </w:r>
      <w:r w:rsidR="00907E0C" w:rsidRPr="0034148C">
        <w:t>7.</w:t>
      </w:r>
      <w:r w:rsidRPr="0034148C">
        <w:t>4: Share of correctly answered questions for Life Skills training module 5</w:t>
      </w:r>
      <w:r w:rsidRPr="0034148C">
        <w:rPr>
          <w:i/>
        </w:rPr>
        <w:t>,</w:t>
      </w:r>
      <w:bookmarkEnd w:id="316"/>
      <w:r w:rsidRPr="0034148C">
        <w:t xml:space="preserve"> </w:t>
      </w:r>
      <w:bookmarkStart w:id="321" w:name="_Toc318710647"/>
      <w:r w:rsidRPr="0034148C">
        <w:t>Pre-test vs. Post-test results (N=826)</w:t>
      </w:r>
      <w:bookmarkEnd w:id="317"/>
      <w:bookmarkEnd w:id="318"/>
      <w:bookmarkEnd w:id="319"/>
      <w:bookmarkEnd w:id="320"/>
      <w:bookmarkEnd w:id="321"/>
    </w:p>
    <w:p w:rsidR="003F6197" w:rsidRPr="0034148C" w:rsidRDefault="003F6197" w:rsidP="003F6197">
      <w:pPr>
        <w:pStyle w:val="ListParagraph"/>
        <w:numPr>
          <w:ilvl w:val="0"/>
          <w:numId w:val="5"/>
        </w:numPr>
        <w:rPr>
          <w:rFonts w:asciiTheme="majorHAnsi" w:hAnsiTheme="majorHAnsi"/>
        </w:rPr>
      </w:pPr>
      <w:r w:rsidRPr="0034148C">
        <w:rPr>
          <w:noProof/>
          <w:lang w:bidi="th-TH"/>
        </w:rPr>
        <w:drawing>
          <wp:inline distT="0" distB="0" distL="0" distR="0">
            <wp:extent cx="5410200" cy="2867025"/>
            <wp:effectExtent l="19050" t="0" r="19050" b="0"/>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302C9" w:rsidRPr="0034148C" w:rsidRDefault="005302C9" w:rsidP="005302C9">
      <w:pPr>
        <w:pStyle w:val="Figurenote"/>
        <w:numPr>
          <w:ilvl w:val="0"/>
          <w:numId w:val="5"/>
        </w:numPr>
      </w:pPr>
      <w:proofErr w:type="gramStart"/>
      <w:r>
        <w:t>Source: Project progress reports.</w:t>
      </w:r>
      <w:proofErr w:type="gramEnd"/>
    </w:p>
    <w:p w:rsidR="003F6197" w:rsidRPr="0034148C" w:rsidRDefault="003F6197" w:rsidP="00BE585D">
      <w:pPr>
        <w:pStyle w:val="Heading5"/>
      </w:pPr>
      <w:bookmarkStart w:id="322" w:name="_Toc318710648"/>
      <w:bookmarkStart w:id="323" w:name="_Toc338571949"/>
      <w:bookmarkStart w:id="324" w:name="_Toc338717190"/>
      <w:bookmarkStart w:id="325" w:name="_Toc338750256"/>
      <w:bookmarkStart w:id="326" w:name="_Toc339368825"/>
      <w:r w:rsidRPr="0034148C">
        <w:t xml:space="preserve">Figure </w:t>
      </w:r>
      <w:r w:rsidR="00907E0C" w:rsidRPr="0034148C">
        <w:t>7.</w:t>
      </w:r>
      <w:r w:rsidRPr="0034148C">
        <w:t>5: Share of correctly answered questions for Life Skills training module 6,</w:t>
      </w:r>
      <w:bookmarkEnd w:id="322"/>
      <w:r w:rsidRPr="0034148C">
        <w:t xml:space="preserve"> </w:t>
      </w:r>
      <w:bookmarkStart w:id="327" w:name="_Toc318710649"/>
      <w:r w:rsidRPr="0034148C">
        <w:t>Pre-test vs. Post-test results (N=820)</w:t>
      </w:r>
      <w:bookmarkEnd w:id="323"/>
      <w:bookmarkEnd w:id="324"/>
      <w:bookmarkEnd w:id="325"/>
      <w:bookmarkEnd w:id="326"/>
      <w:bookmarkEnd w:id="327"/>
    </w:p>
    <w:p w:rsidR="003F6197" w:rsidRPr="0034148C" w:rsidRDefault="003F6197" w:rsidP="003F6197">
      <w:pPr>
        <w:pStyle w:val="ListParagraph"/>
        <w:numPr>
          <w:ilvl w:val="0"/>
          <w:numId w:val="5"/>
        </w:numPr>
        <w:rPr>
          <w:rFonts w:asciiTheme="majorHAnsi" w:hAnsiTheme="majorHAnsi"/>
        </w:rPr>
      </w:pPr>
      <w:r w:rsidRPr="0034148C">
        <w:rPr>
          <w:noProof/>
          <w:lang w:bidi="th-TH"/>
        </w:rPr>
        <w:drawing>
          <wp:inline distT="0" distB="0" distL="0" distR="0">
            <wp:extent cx="5410200" cy="2800350"/>
            <wp:effectExtent l="19050" t="0" r="19050"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302C9" w:rsidRPr="0034148C" w:rsidRDefault="005302C9" w:rsidP="005302C9">
      <w:pPr>
        <w:pStyle w:val="Figurenote"/>
      </w:pPr>
      <w:r>
        <w:rPr>
          <w:rFonts w:asciiTheme="majorHAnsi" w:hAnsiTheme="majorHAnsi"/>
        </w:rPr>
        <w:tab/>
      </w:r>
      <w:r w:rsidR="003F6197" w:rsidRPr="005302C9">
        <w:rPr>
          <w:rFonts w:asciiTheme="majorHAnsi" w:hAnsiTheme="majorHAnsi"/>
        </w:rPr>
        <w:t>.</w:t>
      </w:r>
      <w:bookmarkStart w:id="328" w:name="_Toc338572140"/>
      <w:r w:rsidRPr="005302C9">
        <w:t xml:space="preserve"> </w:t>
      </w:r>
      <w:proofErr w:type="gramStart"/>
      <w:r>
        <w:t>Source: Project progress reports.</w:t>
      </w:r>
      <w:proofErr w:type="gramEnd"/>
    </w:p>
    <w:p w:rsidR="005302C9" w:rsidRPr="005302C9" w:rsidRDefault="005302C9" w:rsidP="00F25968">
      <w:pPr>
        <w:pStyle w:val="ListParagraph"/>
        <w:numPr>
          <w:ilvl w:val="0"/>
          <w:numId w:val="5"/>
        </w:numPr>
      </w:pPr>
    </w:p>
    <w:p w:rsidR="00F25968" w:rsidRPr="0034148C" w:rsidRDefault="005302C9" w:rsidP="005302C9">
      <w:pPr>
        <w:pStyle w:val="Heading2"/>
      </w:pPr>
      <w:r w:rsidRPr="0034148C">
        <w:lastRenderedPageBreak/>
        <w:t xml:space="preserve"> </w:t>
      </w:r>
      <w:bookmarkStart w:id="329" w:name="_Toc338717167"/>
      <w:bookmarkStart w:id="330" w:name="_Toc338750196"/>
      <w:bookmarkStart w:id="331" w:name="_Toc339368789"/>
      <w:r w:rsidR="00F25968" w:rsidRPr="0034148C">
        <w:t xml:space="preserve">7.3 Effectiveness of </w:t>
      </w:r>
      <w:r w:rsidR="00C21C6E" w:rsidRPr="0034148C">
        <w:t xml:space="preserve">infrastructure </w:t>
      </w:r>
      <w:r w:rsidR="00F25968" w:rsidRPr="0034148C">
        <w:t>projects</w:t>
      </w:r>
      <w:r w:rsidR="00C21C6E" w:rsidRPr="0034148C">
        <w:t xml:space="preserve"> and events</w:t>
      </w:r>
      <w:bookmarkEnd w:id="328"/>
      <w:bookmarkEnd w:id="329"/>
      <w:bookmarkEnd w:id="330"/>
      <w:bookmarkEnd w:id="331"/>
    </w:p>
    <w:p w:rsidR="00BD1A2D" w:rsidRPr="0034148C" w:rsidRDefault="00BD1A2D" w:rsidP="00BD1A2D">
      <w:pPr>
        <w:rPr>
          <w:rFonts w:cs="Arial"/>
        </w:rPr>
      </w:pPr>
      <w:r w:rsidRPr="0034148C">
        <w:t xml:space="preserve">Various rehabilitation projects </w:t>
      </w:r>
      <w:proofErr w:type="gramStart"/>
      <w:r w:rsidRPr="0034148C">
        <w:t>were implemented</w:t>
      </w:r>
      <w:proofErr w:type="gramEnd"/>
      <w:r w:rsidRPr="0034148C">
        <w:t xml:space="preserve"> in target schools along with the provided trainings. Specifically, school projects included the rehabilitation of school buildings, </w:t>
      </w:r>
      <w:r w:rsidRPr="0034148C">
        <w:rPr>
          <w:rFonts w:cs="Arial"/>
        </w:rPr>
        <w:t xml:space="preserve">rehabilitation and equipping of libraries, establishment/rehabilitation/equipping of a conference hall, </w:t>
      </w:r>
      <w:r w:rsidR="00743485" w:rsidRPr="0034148C">
        <w:rPr>
          <w:rFonts w:cs="Arial"/>
        </w:rPr>
        <w:t>schoolyard</w:t>
      </w:r>
      <w:r w:rsidRPr="0034148C">
        <w:rPr>
          <w:rFonts w:cs="Arial"/>
        </w:rPr>
        <w:t xml:space="preserve"> fencing, playground rehabilitation etc. According to the school personnel, the school projects were answering the greatest needs of the schools and, therefore, there was a high degree of satisfaction with this intervention. School personnel realize that these projects represent a long-term benefit to the school, and are grateful to the SIIMS project. </w:t>
      </w:r>
    </w:p>
    <w:p w:rsidR="00BD1A2D" w:rsidRPr="0034148C" w:rsidRDefault="00C21C6E" w:rsidP="00907E0C">
      <w:pPr>
        <w:rPr>
          <w:rFonts w:cs="Arial"/>
        </w:rPr>
      </w:pPr>
      <w:r w:rsidRPr="0034148C">
        <w:t xml:space="preserve">All study respondents mentioned that </w:t>
      </w:r>
      <w:r w:rsidR="00907E0C" w:rsidRPr="0034148C">
        <w:t xml:space="preserve">the project activities </w:t>
      </w:r>
      <w:r w:rsidRPr="0034148C">
        <w:t xml:space="preserve">stimulated the planning and implementation of various sport and cultural events in the target schools. The trainings and events were well coordinated (trainings </w:t>
      </w:r>
      <w:proofErr w:type="gramStart"/>
      <w:r w:rsidRPr="0034148C">
        <w:t>were followed</w:t>
      </w:r>
      <w:proofErr w:type="gramEnd"/>
      <w:r w:rsidRPr="0034148C">
        <w:t xml:space="preserve"> by </w:t>
      </w:r>
      <w:r w:rsidR="00743485" w:rsidRPr="0034148C">
        <w:t>two</w:t>
      </w:r>
      <w:r w:rsidRPr="0034148C">
        <w:t xml:space="preserve"> </w:t>
      </w:r>
      <w:r w:rsidR="00743485" w:rsidRPr="0034148C">
        <w:t>school-based</w:t>
      </w:r>
      <w:r w:rsidRPr="0034148C">
        <w:t xml:space="preserve"> events each month). As people saw the effects of the project, more and more </w:t>
      </w:r>
      <w:r w:rsidR="000A4BBF" w:rsidRPr="0034148C">
        <w:t>student</w:t>
      </w:r>
      <w:r w:rsidRPr="0034148C">
        <w:t>s were willing to participate in the school events, which   also contributed to the project success.</w:t>
      </w:r>
      <w:r w:rsidR="00BD1A2D" w:rsidRPr="0034148C">
        <w:rPr>
          <w:rFonts w:cs="Arial"/>
        </w:rPr>
        <w:t xml:space="preserve"> Participation in the </w:t>
      </w:r>
      <w:r w:rsidR="00743485" w:rsidRPr="0034148C">
        <w:rPr>
          <w:rFonts w:cs="Arial"/>
        </w:rPr>
        <w:t>school-based</w:t>
      </w:r>
      <w:r w:rsidR="00BD1A2D" w:rsidRPr="0034148C">
        <w:rPr>
          <w:rFonts w:cs="Arial"/>
        </w:rPr>
        <w:t xml:space="preserve"> events was high especially in sports events. </w:t>
      </w:r>
      <w:r w:rsidR="000A4BBF" w:rsidRPr="0034148C">
        <w:t>Student</w:t>
      </w:r>
      <w:r w:rsidR="00BD1A2D" w:rsidRPr="0034148C">
        <w:t>s and teachers considered that the school- based events provided a benefit that was additional to the trainings, in that they also catered to students who were not so academically inclined. S</w:t>
      </w:r>
      <w:r w:rsidR="00BD1A2D" w:rsidRPr="0034148C">
        <w:rPr>
          <w:rFonts w:cs="Arial"/>
        </w:rPr>
        <w:t xml:space="preserve">pecific knowledge and skills </w:t>
      </w:r>
      <w:proofErr w:type="gramStart"/>
      <w:r w:rsidR="00BD1A2D" w:rsidRPr="0034148C">
        <w:rPr>
          <w:rFonts w:cs="Arial"/>
        </w:rPr>
        <w:t>were developed</w:t>
      </w:r>
      <w:proofErr w:type="gramEnd"/>
      <w:r w:rsidR="00BD1A2D" w:rsidRPr="0034148C">
        <w:rPr>
          <w:rFonts w:cs="Arial"/>
        </w:rPr>
        <w:t xml:space="preserve"> during the trainings and self-confidence was increased, so that more and more </w:t>
      </w:r>
      <w:r w:rsidR="000A4BBF" w:rsidRPr="0034148C">
        <w:rPr>
          <w:rFonts w:cs="Arial"/>
        </w:rPr>
        <w:t>student</w:t>
      </w:r>
      <w:r w:rsidR="00BD1A2D" w:rsidRPr="0034148C">
        <w:rPr>
          <w:rFonts w:cs="Arial"/>
        </w:rPr>
        <w:t xml:space="preserve">s were willing to participate in the school events: </w:t>
      </w:r>
    </w:p>
    <w:p w:rsidR="00C21C6E" w:rsidRPr="0034148C" w:rsidRDefault="00BD1A2D" w:rsidP="00BD1A2D">
      <w:pPr>
        <w:pStyle w:val="Quote"/>
      </w:pPr>
      <w:r w:rsidRPr="0034148C">
        <w:t xml:space="preserve">“…trainings were more cognitive and required minimum level of knowledge and respective interest into the topic. </w:t>
      </w:r>
      <w:r w:rsidR="000A4BBF" w:rsidRPr="0034148C">
        <w:t>Student</w:t>
      </w:r>
      <w:r w:rsidRPr="0034148C">
        <w:t xml:space="preserve">s with low marks and educational achievements in some cases were trying to avoid participation in the trainings; however they were actively involved in other events…”  </w:t>
      </w:r>
    </w:p>
    <w:p w:rsidR="00C21C6E" w:rsidRPr="0034148C" w:rsidRDefault="00C21C6E" w:rsidP="00C21C6E">
      <w:pPr>
        <w:pStyle w:val="Heading2"/>
      </w:pPr>
      <w:bookmarkStart w:id="332" w:name="_Toc338572141"/>
      <w:bookmarkStart w:id="333" w:name="_Toc338717168"/>
      <w:bookmarkStart w:id="334" w:name="_Toc338750197"/>
      <w:bookmarkStart w:id="335" w:name="_Toc339368790"/>
      <w:r w:rsidRPr="0034148C">
        <w:t xml:space="preserve">7.4 </w:t>
      </w:r>
      <w:r w:rsidR="00BD1A2D" w:rsidRPr="0034148C">
        <w:t>Effectiveness of the program in promoting i</w:t>
      </w:r>
      <w:r w:rsidRPr="0034148C">
        <w:t>ntegration of IDP and local community youth</w:t>
      </w:r>
      <w:bookmarkEnd w:id="332"/>
      <w:bookmarkEnd w:id="333"/>
      <w:bookmarkEnd w:id="334"/>
      <w:bookmarkEnd w:id="335"/>
    </w:p>
    <w:p w:rsidR="003F6197" w:rsidRPr="0034148C" w:rsidRDefault="003F6197" w:rsidP="000A4BBF">
      <w:r w:rsidRPr="0034148C">
        <w:t xml:space="preserve">Almost all study respondents consider that the process of integrating IDP </w:t>
      </w:r>
      <w:r w:rsidR="000A4BBF" w:rsidRPr="0034148C">
        <w:t>student</w:t>
      </w:r>
      <w:r w:rsidRPr="0034148C">
        <w:t>s into Mainstream Georgian Society has been a success. Both, students and school princip</w:t>
      </w:r>
      <w:r w:rsidR="00367756" w:rsidRPr="0034148C">
        <w:t>al</w:t>
      </w:r>
      <w:r w:rsidRPr="0034148C">
        <w:t xml:space="preserve">s consider that the distinguishing line between local children and IDP children is disappearing gradually over time and almost does not exist anymore.  According to school personnel (principals and teachers), IDP </w:t>
      </w:r>
      <w:r w:rsidR="000A4BBF" w:rsidRPr="0034148C">
        <w:t>student</w:t>
      </w:r>
      <w:r w:rsidRPr="0034148C">
        <w:t>s have already been assimilated into the local communities and no one</w:t>
      </w:r>
      <w:r w:rsidR="00367756" w:rsidRPr="0034148C">
        <w:t xml:space="preserve"> </w:t>
      </w:r>
      <w:r w:rsidRPr="0034148C">
        <w:t>in the school community treats them as “others” and/or “displaced ones”.</w:t>
      </w:r>
    </w:p>
    <w:p w:rsidR="003F6197" w:rsidRPr="0034148C" w:rsidRDefault="003F6197" w:rsidP="003F6197">
      <w:pPr>
        <w:pStyle w:val="Quote"/>
      </w:pPr>
      <w:r w:rsidRPr="0034148C">
        <w:t>“…there is no distinguishing line between the two groups anymore…”</w:t>
      </w:r>
    </w:p>
    <w:p w:rsidR="003F6197" w:rsidRPr="0034148C" w:rsidRDefault="003F6197" w:rsidP="003F6197">
      <w:pPr>
        <w:pStyle w:val="Quote"/>
      </w:pPr>
      <w:r w:rsidRPr="0034148C">
        <w:t xml:space="preserve">“…most of the IDP </w:t>
      </w:r>
      <w:r w:rsidR="000A4BBF" w:rsidRPr="0034148C">
        <w:t>student</w:t>
      </w:r>
      <w:r w:rsidRPr="0034148C">
        <w:t>s are already well integrated into the local society, they have made a friends with locals and feel themselves as one of us… ”</w:t>
      </w:r>
    </w:p>
    <w:p w:rsidR="003F6197" w:rsidRPr="0034148C" w:rsidRDefault="003F6197" w:rsidP="003F6197">
      <w:r w:rsidRPr="0034148C">
        <w:t xml:space="preserve">However, some of the respondents consider that problems associated with adaptation and integration of IDPs into the new environment still exist. Respondents mentioned that these problems are of a deeper nature and need to be specially treated. One set </w:t>
      </w:r>
      <w:r w:rsidR="00BB356D" w:rsidRPr="0034148C">
        <w:t>of complex</w:t>
      </w:r>
      <w:r w:rsidRPr="0034148C">
        <w:t xml:space="preserve"> problems mentioned by respondents is that some IDP </w:t>
      </w:r>
      <w:r w:rsidR="000A4BBF" w:rsidRPr="0034148C">
        <w:t>student</w:t>
      </w:r>
      <w:r w:rsidRPr="0034148C">
        <w:t xml:space="preserve">s have psychological problems (increased </w:t>
      </w:r>
      <w:r w:rsidRPr="0034148C">
        <w:lastRenderedPageBreak/>
        <w:t xml:space="preserve">level of aggression, anxiety, depression, isolation etc.) that need to </w:t>
      </w:r>
      <w:proofErr w:type="gramStart"/>
      <w:r w:rsidRPr="0034148C">
        <w:t>be addressed</w:t>
      </w:r>
      <w:proofErr w:type="gramEnd"/>
      <w:r w:rsidRPr="0034148C">
        <w:t xml:space="preserve"> by specialists (psychologist and / or psychiatrists). In this regard, the absence of psychologists in the secondary school system </w:t>
      </w:r>
      <w:proofErr w:type="gramStart"/>
      <w:r w:rsidRPr="0034148C">
        <w:t>was mentioned</w:t>
      </w:r>
      <w:proofErr w:type="gramEnd"/>
      <w:r w:rsidRPr="0034148C">
        <w:t xml:space="preserve"> as </w:t>
      </w:r>
      <w:r w:rsidR="00BB356D" w:rsidRPr="0034148C">
        <w:t>an acute</w:t>
      </w:r>
      <w:r w:rsidRPr="0034148C">
        <w:t xml:space="preserve"> problem. Both students and school personnel considered that there is a great need for a psychologist in each of the secondary school</w:t>
      </w:r>
      <w:r w:rsidR="00367756" w:rsidRPr="0034148C">
        <w:t>s</w:t>
      </w:r>
      <w:r w:rsidRPr="0034148C">
        <w:t xml:space="preserve"> that is located in the area were IDPs are settled.</w:t>
      </w:r>
    </w:p>
    <w:p w:rsidR="00C21C6E" w:rsidRPr="0034148C" w:rsidRDefault="00C21C6E" w:rsidP="00C21C6E">
      <w:pPr>
        <w:pStyle w:val="Heading2"/>
      </w:pPr>
      <w:bookmarkStart w:id="336" w:name="_Toc338750198"/>
      <w:bookmarkStart w:id="337" w:name="_Toc339368791"/>
      <w:bookmarkStart w:id="338" w:name="_Toc338572142"/>
      <w:bookmarkStart w:id="339" w:name="_Toc338717169"/>
      <w:r w:rsidRPr="0034148C">
        <w:t>7.5 Sustainability</w:t>
      </w:r>
      <w:bookmarkEnd w:id="336"/>
      <w:bookmarkEnd w:id="337"/>
      <w:r w:rsidR="00367756" w:rsidRPr="0034148C">
        <w:t xml:space="preserve"> </w:t>
      </w:r>
      <w:bookmarkEnd w:id="338"/>
      <w:bookmarkEnd w:id="339"/>
    </w:p>
    <w:p w:rsidR="00367756" w:rsidRPr="0034148C" w:rsidRDefault="00367756" w:rsidP="00367756">
      <w:proofErr w:type="gramStart"/>
      <w:r w:rsidRPr="0034148C">
        <w:t xml:space="preserve">In terms of sustainability of the project, school projects implemented in each of the target schools (rehabilitation of school buildings, equipping the libraries and sport facilities, etc) represent long-term benefits for the schools and can play a further positive role in </w:t>
      </w:r>
      <w:r w:rsidR="007D32FD" w:rsidRPr="0034148C">
        <w:t>the life</w:t>
      </w:r>
      <w:r w:rsidRPr="0034148C">
        <w:t xml:space="preserve"> of the schools.</w:t>
      </w:r>
      <w:proofErr w:type="gramEnd"/>
      <w:r w:rsidRPr="0034148C">
        <w:t xml:space="preserve"> </w:t>
      </w:r>
    </w:p>
    <w:p w:rsidR="00C21C6E" w:rsidRPr="0034148C" w:rsidRDefault="00C21C6E" w:rsidP="00C21C6E">
      <w:pPr>
        <w:pStyle w:val="Heading2"/>
      </w:pPr>
      <w:bookmarkStart w:id="340" w:name="_Toc338572143"/>
      <w:bookmarkStart w:id="341" w:name="_Toc338717170"/>
      <w:bookmarkStart w:id="342" w:name="_Toc338750199"/>
      <w:bookmarkStart w:id="343" w:name="_Toc339368792"/>
      <w:r w:rsidRPr="0034148C">
        <w:t>7.6 Summary</w:t>
      </w:r>
      <w:bookmarkEnd w:id="340"/>
      <w:bookmarkEnd w:id="341"/>
      <w:bookmarkEnd w:id="342"/>
      <w:bookmarkEnd w:id="343"/>
    </w:p>
    <w:p w:rsidR="003F6197" w:rsidRPr="0034148C" w:rsidRDefault="003F6197" w:rsidP="003F6197">
      <w:pPr>
        <w:rPr>
          <w:rFonts w:cs="Arial"/>
          <w:bCs/>
        </w:rPr>
      </w:pPr>
      <w:r w:rsidRPr="0034148C">
        <w:t xml:space="preserve">This component </w:t>
      </w:r>
      <w:proofErr w:type="gramStart"/>
      <w:r w:rsidRPr="0034148C">
        <w:t>can be assessed</w:t>
      </w:r>
      <w:proofErr w:type="gramEnd"/>
      <w:r w:rsidRPr="0034148C">
        <w:t xml:space="preserve"> as very effective as it has far exceeded the set targets for most indicators.  </w:t>
      </w:r>
      <w:proofErr w:type="gramStart"/>
      <w:r w:rsidRPr="0034148C">
        <w:rPr>
          <w:rFonts w:cs="Arial"/>
        </w:rPr>
        <w:t>As a result</w:t>
      </w:r>
      <w:proofErr w:type="gramEnd"/>
      <w:r w:rsidRPr="0034148C">
        <w:rPr>
          <w:rFonts w:cs="Arial"/>
        </w:rPr>
        <w:t xml:space="preserve"> of the project interventions, </w:t>
      </w:r>
      <w:r w:rsidRPr="0034148C">
        <w:t xml:space="preserve">life-skills were effectively developed among target beneficiaries and interaction between IDPs and local </w:t>
      </w:r>
      <w:r w:rsidR="000A4BBF" w:rsidRPr="0034148C">
        <w:t>student</w:t>
      </w:r>
      <w:r w:rsidRPr="0034148C">
        <w:t>s has improved and intensified. T</w:t>
      </w:r>
      <w:r w:rsidRPr="0034148C">
        <w:rPr>
          <w:rFonts w:cs="Arial"/>
        </w:rPr>
        <w:t>he</w:t>
      </w:r>
      <w:r w:rsidRPr="0034148C">
        <w:rPr>
          <w:rFonts w:cs="Arial"/>
          <w:bCs/>
        </w:rPr>
        <w:t xml:space="preserve"> content of the component interventions </w:t>
      </w:r>
      <w:proofErr w:type="gramStart"/>
      <w:r w:rsidRPr="0034148C">
        <w:rPr>
          <w:rFonts w:cs="Arial"/>
          <w:bCs/>
        </w:rPr>
        <w:t>was found</w:t>
      </w:r>
      <w:proofErr w:type="gramEnd"/>
      <w:r w:rsidRPr="0034148C">
        <w:rPr>
          <w:rFonts w:cs="Arial"/>
          <w:bCs/>
        </w:rPr>
        <w:t xml:space="preserve"> appropriate by the project beneficiaries who expressed high interest </w:t>
      </w:r>
      <w:r w:rsidR="00BB356D" w:rsidRPr="0034148C">
        <w:rPr>
          <w:rFonts w:cs="Arial"/>
          <w:bCs/>
        </w:rPr>
        <w:t>in the</w:t>
      </w:r>
      <w:r w:rsidRPr="0034148C">
        <w:rPr>
          <w:rFonts w:cs="Arial"/>
          <w:bCs/>
        </w:rPr>
        <w:t xml:space="preserve"> selected topics. Pre- and post- training test </w:t>
      </w:r>
      <w:r w:rsidR="00BB356D" w:rsidRPr="0034148C">
        <w:rPr>
          <w:rFonts w:cs="Arial"/>
          <w:bCs/>
        </w:rPr>
        <w:t>results indicate</w:t>
      </w:r>
      <w:r w:rsidRPr="0034148C">
        <w:rPr>
          <w:rFonts w:cs="Arial"/>
          <w:bCs/>
        </w:rPr>
        <w:t xml:space="preserve"> that participants absorbed significant amounts of information during the trainings. </w:t>
      </w:r>
    </w:p>
    <w:p w:rsidR="00C21C6E" w:rsidRPr="0034148C" w:rsidRDefault="00367756" w:rsidP="00C21C6E">
      <w:r w:rsidRPr="0034148C">
        <w:t>A number of e</w:t>
      </w:r>
      <w:r w:rsidR="00C21C6E" w:rsidRPr="0034148C">
        <w:t>xternal factors also contributed to</w:t>
      </w:r>
      <w:r w:rsidRPr="0034148C">
        <w:t xml:space="preserve"> the success of this component. </w:t>
      </w:r>
      <w:r w:rsidR="00C21C6E" w:rsidRPr="0034148C">
        <w:t xml:space="preserve">Respondents mentioned that factor of </w:t>
      </w:r>
      <w:r w:rsidR="00C21C6E" w:rsidRPr="0034148C">
        <w:rPr>
          <w:i/>
        </w:rPr>
        <w:t>time</w:t>
      </w:r>
      <w:r w:rsidR="00C21C6E" w:rsidRPr="0034148C">
        <w:t xml:space="preserve"> itself played a positive role towards</w:t>
      </w:r>
      <w:r w:rsidRPr="0034148C">
        <w:t xml:space="preserve"> the</w:t>
      </w:r>
      <w:r w:rsidR="00C21C6E" w:rsidRPr="0034148C">
        <w:t xml:space="preserve"> IDP integration process.</w:t>
      </w:r>
      <w:r w:rsidRPr="0034148C">
        <w:t xml:space="preserve"> Additionally</w:t>
      </w:r>
      <w:r w:rsidR="00C21C6E" w:rsidRPr="0034148C">
        <w:t xml:space="preserve">, Georgian hospitality </w:t>
      </w:r>
      <w:proofErr w:type="gramStart"/>
      <w:r w:rsidR="00C21C6E" w:rsidRPr="0034148C">
        <w:t>was mentioned</w:t>
      </w:r>
      <w:proofErr w:type="gramEnd"/>
      <w:r w:rsidR="00C21C6E" w:rsidRPr="0034148C">
        <w:t xml:space="preserve"> as one of the contributing factors towards successful integration of IDPs. According to the respondents, attention from the Government (social assistance, in-kind and financial support, provided equipped spaces for living purposes), also helped to speed up the integration process.</w:t>
      </w:r>
    </w:p>
    <w:p w:rsidR="00B41952" w:rsidRPr="0034148C" w:rsidRDefault="00B41952" w:rsidP="00555BE4">
      <w:pPr>
        <w:pStyle w:val="Heading1"/>
      </w:pPr>
      <w:bookmarkStart w:id="344" w:name="_Toc338325596"/>
      <w:bookmarkStart w:id="345" w:name="_Toc338572144"/>
      <w:bookmarkStart w:id="346" w:name="_Toc338717171"/>
      <w:bookmarkStart w:id="347" w:name="_Toc338750200"/>
      <w:bookmarkStart w:id="348" w:name="_Toc339368793"/>
      <w:r w:rsidRPr="0034148C">
        <w:t>8. Component 5: Improving service delivery by municipalities and government</w:t>
      </w:r>
      <w:bookmarkEnd w:id="344"/>
      <w:bookmarkEnd w:id="345"/>
      <w:bookmarkEnd w:id="346"/>
      <w:bookmarkEnd w:id="347"/>
      <w:bookmarkEnd w:id="348"/>
    </w:p>
    <w:p w:rsidR="0034148C" w:rsidRPr="0034148C" w:rsidRDefault="0034148C" w:rsidP="0029733C">
      <w:r w:rsidRPr="0034148C">
        <w:t xml:space="preserve">The final component of the SIIMS project </w:t>
      </w:r>
      <w:proofErr w:type="gramStart"/>
      <w:r w:rsidRPr="0034148C">
        <w:t>was designed</w:t>
      </w:r>
      <w:proofErr w:type="gramEnd"/>
      <w:r w:rsidRPr="0034148C">
        <w:t xml:space="preserve"> to develop and maintain communication channels with the national and local government agencies that work with IDPs, with the objective of i</w:t>
      </w:r>
      <w:r w:rsidRPr="0034148C">
        <w:rPr>
          <w:rFonts w:eastAsia="Calibri" w:cs="Cordia New"/>
        </w:rPr>
        <w:t>mproving service delivery</w:t>
      </w:r>
      <w:r w:rsidRPr="0034148C">
        <w:t xml:space="preserve"> to this population</w:t>
      </w:r>
      <w:r w:rsidRPr="0034148C">
        <w:rPr>
          <w:rFonts w:eastAsia="Calibri" w:cs="Cordia New"/>
        </w:rPr>
        <w:t>. Activities include</w:t>
      </w:r>
      <w:r w:rsidRPr="0034148C">
        <w:t>d</w:t>
      </w:r>
      <w:r w:rsidRPr="0034148C">
        <w:rPr>
          <w:rFonts w:eastAsia="Calibri" w:cs="Cordia New"/>
        </w:rPr>
        <w:t xml:space="preserve"> consultations and discussions on programming with municipal and government authorities, and advocating for improved structures and mechanisms. </w:t>
      </w:r>
    </w:p>
    <w:p w:rsidR="00B2600B" w:rsidRPr="0034148C" w:rsidRDefault="00B2600B" w:rsidP="0029733C">
      <w:r w:rsidRPr="0034148C">
        <w:t>Project outputs as defined in the logical framework were for the n</w:t>
      </w:r>
      <w:r w:rsidRPr="0034148C">
        <w:rPr>
          <w:rFonts w:eastAsia="Calibri" w:cs="Cordia New"/>
        </w:rPr>
        <w:t xml:space="preserve">umber of community-initiated projects supported or planned for support by the government </w:t>
      </w:r>
      <w:r w:rsidRPr="0034148C">
        <w:t xml:space="preserve">to </w:t>
      </w:r>
      <w:r w:rsidRPr="0034148C">
        <w:rPr>
          <w:rFonts w:eastAsia="Calibri" w:cs="Cordia New"/>
        </w:rPr>
        <w:t>increase</w:t>
      </w:r>
      <w:r w:rsidRPr="0034148C">
        <w:t xml:space="preserve"> by at least by 10% and for an i</w:t>
      </w:r>
      <w:r w:rsidRPr="0034148C">
        <w:rPr>
          <w:rFonts w:eastAsia="Calibri" w:cs="Cordia New"/>
        </w:rPr>
        <w:t xml:space="preserve">nformation sharing system between project/CSOs and government </w:t>
      </w:r>
      <w:r w:rsidRPr="0034148C">
        <w:t xml:space="preserve">to </w:t>
      </w:r>
      <w:proofErr w:type="gramStart"/>
      <w:r w:rsidRPr="0034148C">
        <w:t xml:space="preserve">be </w:t>
      </w:r>
      <w:r w:rsidRPr="0034148C">
        <w:rPr>
          <w:rFonts w:eastAsia="Calibri" w:cs="Cordia New"/>
        </w:rPr>
        <w:t>institutionalized</w:t>
      </w:r>
      <w:proofErr w:type="gramEnd"/>
      <w:r w:rsidRPr="0034148C">
        <w:rPr>
          <w:rFonts w:eastAsia="Calibri" w:cs="Cordia New"/>
        </w:rPr>
        <w:t>.</w:t>
      </w:r>
      <w:r w:rsidRPr="0034148C">
        <w:t xml:space="preserve"> These outputs contribute to the specific objective of increasing positive interactions between IDPs and local community members.</w:t>
      </w:r>
    </w:p>
    <w:p w:rsidR="001D351B" w:rsidRPr="0034148C" w:rsidRDefault="001D351B" w:rsidP="001D351B">
      <w:pPr>
        <w:pStyle w:val="Heading2"/>
      </w:pPr>
      <w:bookmarkStart w:id="349" w:name="_Toc338717172"/>
      <w:bookmarkStart w:id="350" w:name="_Toc338750201"/>
      <w:bookmarkStart w:id="351" w:name="_Toc339368794"/>
      <w:r w:rsidRPr="0034148C">
        <w:lastRenderedPageBreak/>
        <w:t>8.1 Achievements of the program</w:t>
      </w:r>
      <w:bookmarkEnd w:id="349"/>
      <w:bookmarkEnd w:id="350"/>
      <w:bookmarkEnd w:id="351"/>
    </w:p>
    <w:p w:rsidR="00493662" w:rsidRPr="0034148C" w:rsidRDefault="0029733C" w:rsidP="0029733C">
      <w:r w:rsidRPr="0034148C">
        <w:t xml:space="preserve">The one-year evaluation study reported that the project teams had a good level of interaction with </w:t>
      </w:r>
      <w:r w:rsidRPr="0034148C">
        <w:rPr>
          <w:rFonts w:eastAsia="Calibri" w:cs="Cordia New"/>
        </w:rPr>
        <w:t>regional, national and municipal governmental authorities</w:t>
      </w:r>
      <w:r w:rsidR="007C0FD1">
        <w:rPr>
          <w:rFonts w:eastAsia="Calibri" w:cs="Cordia New"/>
        </w:rPr>
        <w:t xml:space="preserve"> (Jafarli, 2010)</w:t>
      </w:r>
      <w:r w:rsidRPr="0034148C">
        <w:t xml:space="preserve">. However, the project had not succeeded in </w:t>
      </w:r>
      <w:r w:rsidR="00493662" w:rsidRPr="0034148C">
        <w:t xml:space="preserve">garnering resources from government sources to support the infrastructure projects. The report recommended that efforts </w:t>
      </w:r>
      <w:proofErr w:type="gramStart"/>
      <w:r w:rsidR="00493662" w:rsidRPr="0034148C">
        <w:t>should be maximized</w:t>
      </w:r>
      <w:proofErr w:type="gramEnd"/>
      <w:r w:rsidR="00493662" w:rsidRPr="0034148C">
        <w:t xml:space="preserve"> to obtain co-financing from government sources by the end of the project period, and that capacity building activities should be developed to assist CSOs to advocate for such funding.</w:t>
      </w:r>
    </w:p>
    <w:p w:rsidR="003650D6" w:rsidRDefault="0034148C" w:rsidP="0029733C">
      <w:r w:rsidRPr="0034148C">
        <w:t xml:space="preserve">By the end of the project however, CARE had successfully </w:t>
      </w:r>
      <w:r w:rsidR="003650D6">
        <w:t xml:space="preserve">developed a memo of cooperation with </w:t>
      </w:r>
      <w:r w:rsidRPr="0034148C">
        <w:t xml:space="preserve">the Gori municipality to contribute 10% of the cost of the social and economic infrastructure projects in that area. </w:t>
      </w:r>
      <w:r w:rsidR="003650D6">
        <w:t xml:space="preserve"> Interviews with Gori municipality officials made clear that they</w:t>
      </w:r>
      <w:r w:rsidR="00A01BBD">
        <w:t xml:space="preserve"> </w:t>
      </w:r>
      <w:r w:rsidR="003650D6">
        <w:t xml:space="preserve">felt that CARE’s priorities aligned well with their own, and that they hoped the partnership could continue. </w:t>
      </w:r>
      <w:r w:rsidR="005745F2">
        <w:t>In addition, schools contributed</w:t>
      </w:r>
      <w:r w:rsidR="00B31228">
        <w:t xml:space="preserve"> </w:t>
      </w:r>
      <w:proofErr w:type="gramStart"/>
      <w:r w:rsidR="00B31228">
        <w:t>a total of 16</w:t>
      </w:r>
      <w:proofErr w:type="gramEnd"/>
      <w:r w:rsidR="00B31228">
        <w:t xml:space="preserve">% of the cost of the social infrastructure projects and SIIMS successfully obtained a waiver of the license fee for one project. In total </w:t>
      </w:r>
      <w:proofErr w:type="gramStart"/>
      <w:r w:rsidR="00B31228">
        <w:t>government</w:t>
      </w:r>
      <w:proofErr w:type="gramEnd"/>
      <w:r w:rsidR="00B31228">
        <w:t xml:space="preserve"> contributions covered 17% of the infrastructure project costs.</w:t>
      </w:r>
    </w:p>
    <w:p w:rsidR="0034148C" w:rsidRDefault="0034148C" w:rsidP="0029733C">
      <w:r w:rsidRPr="0034148C">
        <w:t xml:space="preserve">While the initial </w:t>
      </w:r>
      <w:r>
        <w:t xml:space="preserve">hopes were that such financing </w:t>
      </w:r>
      <w:proofErr w:type="gramStart"/>
      <w:r>
        <w:t>could be obtained</w:t>
      </w:r>
      <w:proofErr w:type="gramEnd"/>
      <w:r>
        <w:t xml:space="preserve"> from all of the localities in the project area, the government </w:t>
      </w:r>
      <w:r w:rsidR="00427ACA">
        <w:t>budget system was found to be inflexible, such that there were no available funds that had not already been committed.</w:t>
      </w:r>
      <w:r w:rsidR="003650D6">
        <w:t xml:space="preserve"> Nearly all of the government officials indicated however that they agreed with CARE’s strategies to promote integration through community-based projects that benefitted both IDPs and the local population. The agricultural machinery program and the infrastructure projects </w:t>
      </w:r>
      <w:proofErr w:type="gramStart"/>
      <w:r w:rsidR="003650D6">
        <w:t>were cited</w:t>
      </w:r>
      <w:proofErr w:type="gramEnd"/>
      <w:r w:rsidR="003650D6">
        <w:t xml:space="preserve"> in particular as positive </w:t>
      </w:r>
      <w:r w:rsidR="0016333F">
        <w:t xml:space="preserve">forces for progress that had full government backing. Some officials said that the many organizations who rushed in to develop projects with the IDP communities had mainly failed with </w:t>
      </w:r>
      <w:r w:rsidR="00743485">
        <w:t>shortsighted</w:t>
      </w:r>
      <w:r w:rsidR="0016333F">
        <w:t xml:space="preserve"> solutions, whereas sustainable programs like CARE’s were still working.</w:t>
      </w:r>
    </w:p>
    <w:p w:rsidR="0016333F" w:rsidRDefault="0016333F" w:rsidP="0029733C">
      <w:r>
        <w:t xml:space="preserve">Some officials stressed that the employment and income problems that IDPs face are very similar for the local population as well. </w:t>
      </w:r>
    </w:p>
    <w:p w:rsidR="0016333F" w:rsidRDefault="0016333F" w:rsidP="0016333F">
      <w:pPr>
        <w:pStyle w:val="Quote"/>
      </w:pPr>
      <w:r>
        <w:t>The only difference is that the IDPs lost their houses too. It does not make sense to differentiate the two populations; better to address them together</w:t>
      </w:r>
      <w:r w:rsidR="00E31854">
        <w:t xml:space="preserve">. </w:t>
      </w:r>
      <w:proofErr w:type="gramStart"/>
      <w:r w:rsidR="00E31854">
        <w:t>CARE projects meet this objective, as they are long-term projects to generate income, not short-term aid.</w:t>
      </w:r>
      <w:proofErr w:type="gramEnd"/>
      <w:r w:rsidR="00E31854">
        <w:t xml:space="preserve"> (Government official)</w:t>
      </w:r>
    </w:p>
    <w:p w:rsidR="00E31854" w:rsidRPr="00E31854" w:rsidRDefault="00E31854" w:rsidP="00E31854">
      <w:r>
        <w:t>Respondents also said that the neighboring communities were benefitting from the projects as well. Some said however that it was too early to talk about sustainability</w:t>
      </w:r>
      <w:r w:rsidRPr="009E49B5">
        <w:rPr>
          <w:rFonts w:ascii="Calibri" w:hAnsi="Calibri" w:cs="Calibri"/>
        </w:rPr>
        <w:t>—</w:t>
      </w:r>
      <w:r>
        <w:t>better to wait a few months after the project’s end to see if they are still working. Government officials all maintained that they have a good relationship with CARE and good lines of communication. They were appreciative that CARE programs were in line with their own but did not duplicate them</w:t>
      </w:r>
    </w:p>
    <w:p w:rsidR="00D838F9" w:rsidRDefault="00F90803" w:rsidP="00B31228">
      <w:r>
        <w:t xml:space="preserve">With regard to building strong channels of communication with government officials at multiple levels, nearly all of the officials interviewed were extremely positive about CARE’s work in the region. </w:t>
      </w:r>
      <w:r w:rsidR="00D838F9">
        <w:br w:type="page"/>
      </w:r>
    </w:p>
    <w:p w:rsidR="00D838F9" w:rsidRDefault="00D838F9" w:rsidP="00D838F9">
      <w:pPr>
        <w:pStyle w:val="Heading2"/>
      </w:pPr>
      <w:bookmarkStart w:id="352" w:name="_Toc338750202"/>
      <w:bookmarkStart w:id="353" w:name="_Toc339368795"/>
      <w:r>
        <w:lastRenderedPageBreak/>
        <w:t>8.2 Sustainability</w:t>
      </w:r>
      <w:bookmarkEnd w:id="352"/>
      <w:bookmarkEnd w:id="353"/>
    </w:p>
    <w:p w:rsidR="0029733C" w:rsidRPr="0034148C" w:rsidRDefault="00D838F9" w:rsidP="0029733C">
      <w:r>
        <w:t xml:space="preserve">While CARE had built very good relationships with most of the national and local government officials who work with IDPs, it is </w:t>
      </w:r>
      <w:proofErr w:type="gramStart"/>
      <w:r>
        <w:t>a fact of life</w:t>
      </w:r>
      <w:proofErr w:type="gramEnd"/>
      <w:r>
        <w:t xml:space="preserve"> that these positions change often, particularly in light of the recent election. With the SIIMS program winding down, it is likely that it will take effort on CARE’s part to re-create these relationships over time. </w:t>
      </w:r>
      <w:r w:rsidR="00493662" w:rsidRPr="0034148C">
        <w:t xml:space="preserve">  </w:t>
      </w:r>
    </w:p>
    <w:p w:rsidR="00B41952" w:rsidRPr="0034148C" w:rsidRDefault="00B41952" w:rsidP="00555BE4">
      <w:pPr>
        <w:pStyle w:val="Heading1"/>
      </w:pPr>
      <w:bookmarkStart w:id="354" w:name="_Toc338325597"/>
      <w:bookmarkStart w:id="355" w:name="_Toc338572145"/>
      <w:bookmarkStart w:id="356" w:name="_Toc338717173"/>
      <w:bookmarkStart w:id="357" w:name="_Toc338750203"/>
      <w:bookmarkStart w:id="358" w:name="_Toc339368796"/>
      <w:r w:rsidRPr="0034148C">
        <w:t xml:space="preserve">9. discussion and </w:t>
      </w:r>
      <w:bookmarkEnd w:id="354"/>
      <w:bookmarkEnd w:id="355"/>
      <w:bookmarkEnd w:id="356"/>
      <w:bookmarkEnd w:id="357"/>
      <w:bookmarkEnd w:id="358"/>
      <w:r w:rsidR="003251FA">
        <w:t>VISION FOR DURABLE SOLUTIONS</w:t>
      </w:r>
    </w:p>
    <w:p w:rsidR="00576483" w:rsidRDefault="007142D3" w:rsidP="00576483">
      <w:r>
        <w:t>Th</w:t>
      </w:r>
      <w:r w:rsidR="004C1FF3">
        <w:t xml:space="preserve">is </w:t>
      </w:r>
      <w:r>
        <w:t xml:space="preserve">final evaluation </w:t>
      </w:r>
      <w:r w:rsidR="004C1FF3">
        <w:t xml:space="preserve">has presented a great deal of evidence to </w:t>
      </w:r>
      <w:r>
        <w:t xml:space="preserve">demonstrate how CARE’s </w:t>
      </w:r>
      <w:proofErr w:type="gramStart"/>
      <w:r>
        <w:t xml:space="preserve">strategy </w:t>
      </w:r>
      <w:r w:rsidR="004C1FF3">
        <w:t>to help IDPs to integrate into their new communities through providing economic opportunities and</w:t>
      </w:r>
      <w:r>
        <w:t xml:space="preserve"> promote community developme</w:t>
      </w:r>
      <w:r w:rsidR="004C1FF3">
        <w:t>nt have</w:t>
      </w:r>
      <w:proofErr w:type="gramEnd"/>
      <w:r w:rsidR="004C1FF3">
        <w:t xml:space="preserve"> had a positive impact. Those who have participated in the income generation programs, particularly the agricultural machinery scheme, have benefitted through both increased incomes and developing relationships with the local population. The infrastructure project and the children and adolescents </w:t>
      </w:r>
      <w:r w:rsidR="00743485">
        <w:t>capacity-building</w:t>
      </w:r>
      <w:r w:rsidR="004C1FF3">
        <w:t xml:space="preserve"> project have had a demonstrated favorable effect on community relationships and quality of life. </w:t>
      </w:r>
      <w:r w:rsidR="00B24837">
        <w:t>These accomplishments have required that CARE be careful to avoid the appearance of favoritism or of unfair advantage for IDPs, in a context of limited resources and opportunities that affect the local population as well.</w:t>
      </w:r>
    </w:p>
    <w:p w:rsidR="00B857F3" w:rsidRPr="0034148C" w:rsidRDefault="00B857F3" w:rsidP="00576483">
      <w:r>
        <w:t xml:space="preserve">This section looks at the </w:t>
      </w:r>
      <w:r w:rsidR="00743485">
        <w:t>crosscutting</w:t>
      </w:r>
      <w:r>
        <w:t xml:space="preserve"> issue of gender as it relates to the findings of the study and takes a final look at sustainability issues as the project winds down. It closes with recommendations as CARE moves forward with its IDP initiatives.</w:t>
      </w:r>
    </w:p>
    <w:p w:rsidR="001D351B" w:rsidRPr="0034148C" w:rsidRDefault="001D351B" w:rsidP="001D351B">
      <w:pPr>
        <w:pStyle w:val="Heading2"/>
      </w:pPr>
      <w:bookmarkStart w:id="359" w:name="_Toc338717174"/>
      <w:bookmarkStart w:id="360" w:name="_Toc338750204"/>
      <w:bookmarkStart w:id="361" w:name="_Toc339368797"/>
      <w:r w:rsidRPr="0034148C">
        <w:t>9.1 Gender issues</w:t>
      </w:r>
      <w:bookmarkEnd w:id="359"/>
      <w:bookmarkEnd w:id="360"/>
      <w:bookmarkEnd w:id="361"/>
    </w:p>
    <w:p w:rsidR="003E3452" w:rsidRDefault="00B857F3" w:rsidP="003E3452">
      <w:r>
        <w:t>CARE takes a rights-based approach to address the underlying causes of poverty</w:t>
      </w:r>
      <w:r w:rsidR="00A903B8">
        <w:t xml:space="preserve"> through promoting self-sufficiency. An important part of this approach is to promote</w:t>
      </w:r>
      <w:r w:rsidR="003A4A71">
        <w:t xml:space="preserve"> women’s well-being and empowerment</w:t>
      </w:r>
      <w:r w:rsidR="00A903B8">
        <w:t xml:space="preserve">, which </w:t>
      </w:r>
      <w:proofErr w:type="gramStart"/>
      <w:r w:rsidR="00A903B8">
        <w:t>is seen</w:t>
      </w:r>
      <w:proofErr w:type="gramEnd"/>
      <w:r w:rsidR="00A903B8">
        <w:t xml:space="preserve"> as </w:t>
      </w:r>
      <w:r w:rsidR="003601C6">
        <w:t>the most effective way to overcome poverty</w:t>
      </w:r>
      <w:r w:rsidR="003A4A71">
        <w:t>.</w:t>
      </w:r>
      <w:r w:rsidR="00A903B8">
        <w:t xml:space="preserve"> </w:t>
      </w:r>
      <w:proofErr w:type="gramStart"/>
      <w:r w:rsidR="003601C6">
        <w:t xml:space="preserve">All CARE initiatives, whether they are targeted specifically for women and girls or not, should </w:t>
      </w:r>
      <w:r w:rsidR="00A903B8">
        <w:t xml:space="preserve">include an analysis of </w:t>
      </w:r>
      <w:r w:rsidR="003601C6">
        <w:t xml:space="preserve">how </w:t>
      </w:r>
      <w:r w:rsidR="00A903B8">
        <w:t xml:space="preserve">gender issues may </w:t>
      </w:r>
      <w:r w:rsidR="003601C6">
        <w:t>affect their effectiveness.</w:t>
      </w:r>
      <w:proofErr w:type="gramEnd"/>
    </w:p>
    <w:p w:rsidR="003601C6" w:rsidRDefault="003601C6" w:rsidP="003E3452">
      <w:r>
        <w:t xml:space="preserve">The SIIMS component that specifically targets women is the women entrepreneurs’ project. Women were given training, technical assistance and financial support to start their own businesses, giving them the direct means to earn their own income. An explicit objective of the project was to empower women within the family, where women have traditional roles including complete responsibility for </w:t>
      </w:r>
      <w:r w:rsidR="00743485">
        <w:t>childcare</w:t>
      </w:r>
      <w:r>
        <w:t xml:space="preserve"> and maintaining the household. The final evaluation found some evidence that the women entr</w:t>
      </w:r>
      <w:r w:rsidR="00690728">
        <w:t>e</w:t>
      </w:r>
      <w:r>
        <w:t>preneurs’ success</w:t>
      </w:r>
      <w:r w:rsidR="00690728">
        <w:t xml:space="preserve"> had raised their status in the family, and that attitudes towards women’s role were changing. </w:t>
      </w:r>
      <w:proofErr w:type="gramStart"/>
      <w:r w:rsidR="00690728">
        <w:t>But</w:t>
      </w:r>
      <w:proofErr w:type="gramEnd"/>
      <w:r w:rsidR="00690728">
        <w:t xml:space="preserve"> many of the women said that having a business had not changed relationships in the home, and nearly half felt that men should be responsible for supporting the family (Figure 4.2.4, p.22). There may be a subtext to these findings that IDP families will attempt to take any income generating opportunity</w:t>
      </w:r>
      <w:r w:rsidR="00C520C9">
        <w:t xml:space="preserve"> available to </w:t>
      </w:r>
      <w:proofErr w:type="gramStart"/>
      <w:r w:rsidR="00C520C9">
        <w:t>them,</w:t>
      </w:r>
      <w:proofErr w:type="gramEnd"/>
      <w:r w:rsidR="00C520C9">
        <w:t xml:space="preserve"> and that some women would prefer to be in a traditional role of being supported by the husband if that were possible. It would be fascinating to explore these issues in more depth and to see how the roles and attitudes change over time.</w:t>
      </w:r>
    </w:p>
    <w:p w:rsidR="00C520C9" w:rsidRDefault="00C520C9" w:rsidP="003E3452">
      <w:r>
        <w:lastRenderedPageBreak/>
        <w:t>While all of the other components of the SIIMS project attempted to include both men and women, boys and girls, they did so to a varying degree of success. The agricultural machinery groups did not include any women, with most groups stating that women did not have the mechanical expertise necessary to be part of the groups. While this is likely true, women do have other skills that would be useful in the agricultural machinery groups, such as keeping records, managing the queue, and community relations. It is fairly clear that the precious resource that the agricultural machinery represents</w:t>
      </w:r>
      <w:r w:rsidR="00F21BE6" w:rsidRPr="009E49B5">
        <w:rPr>
          <w:rFonts w:ascii="Calibri" w:hAnsi="Calibri" w:cs="Calibri"/>
        </w:rPr>
        <w:t>—</w:t>
      </w:r>
      <w:r w:rsidR="00F21BE6">
        <w:t>increasing agricultural productivity and allowing families to farm who had been unable to do so in the past</w:t>
      </w:r>
      <w:r w:rsidR="00F21BE6" w:rsidRPr="009E49B5">
        <w:rPr>
          <w:rFonts w:ascii="Calibri" w:hAnsi="Calibri" w:cs="Calibri"/>
        </w:rPr>
        <w:t>—</w:t>
      </w:r>
      <w:r w:rsidR="00F21BE6">
        <w:t>was seen as falling firmly within men’s traditional role, both in agriculture and the household. However, it is not clear whether requiring women to be more involved, given the other problems that the group faced in managing these precious resources, would have enhanced or hindered the success of the project.</w:t>
      </w:r>
    </w:p>
    <w:p w:rsidR="003E3452" w:rsidRPr="0034148C" w:rsidRDefault="00F21BE6" w:rsidP="00BE13DE">
      <w:r>
        <w:t xml:space="preserve">Other components were more successful at achieving a gender balance in fulfilling key project roles. The infrastructure projects clearly involved both men and women, indeed all community </w:t>
      </w:r>
      <w:proofErr w:type="gramStart"/>
      <w:r>
        <w:t>member</w:t>
      </w:r>
      <w:proofErr w:type="gramEnd"/>
      <w:r>
        <w:t xml:space="preserve">, in </w:t>
      </w:r>
      <w:r w:rsidR="00743485">
        <w:t>decision-making</w:t>
      </w:r>
      <w:r>
        <w:t xml:space="preserve"> and implementation of the projects. </w:t>
      </w:r>
      <w:r w:rsidR="008E4E20">
        <w:t>Of interest is the gender balance achieved in t</w:t>
      </w:r>
      <w:r>
        <w:t>he CSO</w:t>
      </w:r>
      <w:r w:rsidR="008E4E20">
        <w:t xml:space="preserve"> support scheme and the </w:t>
      </w:r>
      <w:r w:rsidR="00743485">
        <w:t>capacity-building</w:t>
      </w:r>
      <w:r w:rsidR="008E4E20">
        <w:t xml:space="preserve"> program for children and adolescents. Both projects included capacity building on gender issues in all their activities. The CSO final evaluation notes however that </w:t>
      </w:r>
      <w:r w:rsidR="00BE13DE">
        <w:t>the sample of organizations studied</w:t>
      </w:r>
      <w:r w:rsidR="00BE13DE" w:rsidRPr="009E49B5">
        <w:rPr>
          <w:rFonts w:ascii="Calibri" w:hAnsi="Calibri" w:cs="Calibri"/>
        </w:rPr>
        <w:t>—</w:t>
      </w:r>
      <w:r w:rsidR="00BE13DE">
        <w:t>l</w:t>
      </w:r>
      <w:r w:rsidR="003E3452" w:rsidRPr="0034148C">
        <w:t>eaving the two projects that focused specifically on women and girls aside for the moment</w:t>
      </w:r>
      <w:r w:rsidR="00BE13DE" w:rsidRPr="009E49B5">
        <w:rPr>
          <w:rFonts w:ascii="Calibri" w:hAnsi="Calibri" w:cs="Calibri"/>
        </w:rPr>
        <w:t>—</w:t>
      </w:r>
      <w:r w:rsidR="00BE13DE">
        <w:t xml:space="preserve">had </w:t>
      </w:r>
      <w:r w:rsidR="003E3452" w:rsidRPr="0034148C">
        <w:t>substantially more female than male participants</w:t>
      </w:r>
      <w:r w:rsidR="00BE13DE">
        <w:t xml:space="preserve"> (a </w:t>
      </w:r>
      <w:r w:rsidR="003E3452" w:rsidRPr="0034148C">
        <w:t>proportion of participation of females to males</w:t>
      </w:r>
      <w:r w:rsidR="00BE13DE">
        <w:t xml:space="preserve"> of approximately </w:t>
      </w:r>
      <w:r w:rsidR="003E3452" w:rsidRPr="0034148C">
        <w:t>60-40 and 70-30 percent</w:t>
      </w:r>
      <w:r w:rsidR="00BE13DE">
        <w:t>)</w:t>
      </w:r>
      <w:r w:rsidR="003E3452" w:rsidRPr="0034148C">
        <w:t xml:space="preserve">. </w:t>
      </w:r>
    </w:p>
    <w:p w:rsidR="003E3452" w:rsidRPr="0034148C" w:rsidRDefault="00BE13DE" w:rsidP="003E3452">
      <w:r>
        <w:t xml:space="preserve">While this finding indicates that </w:t>
      </w:r>
      <w:r w:rsidR="003E3452" w:rsidRPr="0034148C">
        <w:t>the projects were well adapted to the needs and concerns of women and girls</w:t>
      </w:r>
      <w:r>
        <w:t xml:space="preserve">, </w:t>
      </w:r>
      <w:r w:rsidR="003E3452" w:rsidRPr="0034148C">
        <w:t>the activities were not exclusively or even particularly oriented towards the interests of women</w:t>
      </w:r>
      <w:r>
        <w:t xml:space="preserve">. This </w:t>
      </w:r>
      <w:r w:rsidR="003E3452" w:rsidRPr="0034148C">
        <w:t>raise</w:t>
      </w:r>
      <w:r>
        <w:t>s</w:t>
      </w:r>
      <w:r w:rsidR="003E3452" w:rsidRPr="0034148C">
        <w:t xml:space="preserve"> the question of why there was such a low level of participation of men and boys. </w:t>
      </w:r>
      <w:proofErr w:type="gramStart"/>
      <w:r w:rsidR="003E3452" w:rsidRPr="0034148C">
        <w:t>When questioned about this, project staff in the sample CSOs suggested that females are just generally more socially active in the IDP population; that male youths are “socially awkward” and see participation in clubs and NGO-type activities as “soft” or something that does not fit with their images of masculinity; and that boys and men are engaged in farming activities and therefore have less free time.</w:t>
      </w:r>
      <w:proofErr w:type="gramEnd"/>
    </w:p>
    <w:p w:rsidR="003E3452" w:rsidRPr="0034148C" w:rsidRDefault="003E3452" w:rsidP="003E3452">
      <w:r w:rsidRPr="0034148C">
        <w:t xml:space="preserve">It might be worthwhile exploring this issue in </w:t>
      </w:r>
      <w:proofErr w:type="gramStart"/>
      <w:r w:rsidRPr="0034148C">
        <w:t>greater detail</w:t>
      </w:r>
      <w:proofErr w:type="gramEnd"/>
      <w:r w:rsidRPr="0034148C">
        <w:t xml:space="preserve"> to learn why males are abstaining from these kinds of projects in order to adapt any future activities to encourage more male participation. Currently there is a risk that males, particularly those older than 18, are being “left behind” in the integration process.</w:t>
      </w:r>
      <w:r w:rsidR="00BE13DE">
        <w:t xml:space="preserve"> While the final evaluation of the capacity building for children and adolescents did not examine this issue, it is likely that girls were predominant in those activities as well.</w:t>
      </w:r>
    </w:p>
    <w:p w:rsidR="001D351B" w:rsidRDefault="003A4A71" w:rsidP="003A4A71">
      <w:pPr>
        <w:pStyle w:val="Heading2"/>
      </w:pPr>
      <w:bookmarkStart w:id="362" w:name="_Toc338750205"/>
      <w:bookmarkStart w:id="363" w:name="_Toc339368798"/>
      <w:r>
        <w:t>9.2 Durable solutions</w:t>
      </w:r>
      <w:bookmarkEnd w:id="362"/>
      <w:bookmarkEnd w:id="363"/>
    </w:p>
    <w:p w:rsidR="003A4A71" w:rsidRDefault="003A4A71" w:rsidP="003A4A71">
      <w:proofErr w:type="gramStart"/>
      <w:r>
        <w:t xml:space="preserve">CARE’s vision for support to IDPs follows the UN framework for durable solutions for resettlement, as measured by whether they have safety and security; an adequate standard of living; livelihoods and employment; mechanisms for the restoration of housing, land and property; access to documentation; possibility for family reunification; possibility for public </w:t>
      </w:r>
      <w:r>
        <w:lastRenderedPageBreak/>
        <w:t xml:space="preserve">participation; and remedies for displacement-related violations (Just, 2011; UN, </w:t>
      </w:r>
      <w:r w:rsidRPr="003A4A71">
        <w:rPr>
          <w:lang w:val="en-GB"/>
        </w:rPr>
        <w:t>Brookings-Bern Project on Internal Displacement, 2010</w:t>
      </w:r>
      <w:r>
        <w:rPr>
          <w:lang w:val="en-GB"/>
        </w:rPr>
        <w:t>)</w:t>
      </w:r>
      <w:r>
        <w:t>.</w:t>
      </w:r>
      <w:proofErr w:type="gramEnd"/>
      <w:r w:rsidR="00634637">
        <w:t xml:space="preserve"> An earlier study of SIIMS concluded that </w:t>
      </w:r>
      <w:r w:rsidR="00B24837">
        <w:t xml:space="preserve">CARE must work carefully to overcome </w:t>
      </w:r>
      <w:proofErr w:type="gramStart"/>
      <w:r w:rsidR="00B24837">
        <w:t xml:space="preserve">the </w:t>
      </w:r>
      <w:r w:rsidR="00A01BBD">
        <w:t xml:space="preserve"> </w:t>
      </w:r>
      <w:r w:rsidR="00B24837">
        <w:t>systemic</w:t>
      </w:r>
      <w:proofErr w:type="gramEnd"/>
      <w:r w:rsidR="00B24837">
        <w:t xml:space="preserve"> challenges of </w:t>
      </w:r>
      <w:r w:rsidR="001C0CCF">
        <w:t>minimal government policies addressing IDP issues</w:t>
      </w:r>
      <w:r w:rsidR="00B24837">
        <w:t xml:space="preserve">, </w:t>
      </w:r>
      <w:r w:rsidR="001C0CCF">
        <w:t xml:space="preserve">a weak civil service sector, and a lack of initiative and social capital among IDPs. Durable solutions would </w:t>
      </w:r>
      <w:r w:rsidR="001C0CCF" w:rsidRPr="00155314">
        <w:t>continue</w:t>
      </w:r>
      <w:r w:rsidR="001C0CCF" w:rsidRPr="001C0CCF">
        <w:rPr>
          <w:lang w:val="en-GB"/>
        </w:rPr>
        <w:t xml:space="preserve"> to improve IDPs’ connections to livelihood opportunities, continue to mobilize social capital and networks within IDP settlements</w:t>
      </w:r>
      <w:r w:rsidR="001C0CCF">
        <w:rPr>
          <w:lang w:val="en-GB"/>
        </w:rPr>
        <w:t>,</w:t>
      </w:r>
      <w:r w:rsidR="001C0CCF" w:rsidRPr="001C0CCF">
        <w:rPr>
          <w:lang w:val="en-GB"/>
        </w:rPr>
        <w:t xml:space="preserve"> and empower IDPs to have a greater influence on policies and resource allocations</w:t>
      </w:r>
      <w:r w:rsidR="001C0CCF">
        <w:rPr>
          <w:lang w:val="en-GB"/>
        </w:rPr>
        <w:t xml:space="preserve"> (Just, 2011)</w:t>
      </w:r>
      <w:r w:rsidR="001C0CCF" w:rsidRPr="001C0CCF">
        <w:rPr>
          <w:lang w:val="en-GB"/>
        </w:rPr>
        <w:t>.</w:t>
      </w:r>
    </w:p>
    <w:p w:rsidR="001C0CCF" w:rsidRPr="001C0CCF" w:rsidRDefault="001C0CCF" w:rsidP="003A4A71">
      <w:pPr>
        <w:rPr>
          <w:lang w:val="en-GB"/>
        </w:rPr>
      </w:pPr>
      <w:r w:rsidRPr="001C0CCF">
        <w:rPr>
          <w:lang w:val="en-GB"/>
        </w:rPr>
        <w:t>In working towards this vision</w:t>
      </w:r>
      <w:r>
        <w:rPr>
          <w:lang w:val="en-GB"/>
        </w:rPr>
        <w:t>,</w:t>
      </w:r>
      <w:r w:rsidRPr="001C0CCF">
        <w:rPr>
          <w:lang w:val="en-GB"/>
        </w:rPr>
        <w:t xml:space="preserve"> CARE’s role will shift from chief implementer and service provider, towards being a facilitator, connector and influencer. To promote sustainability in program implementation, CARE will now seek to work with strategic national partners that are already providing such services. These organizations may</w:t>
      </w:r>
      <w:r>
        <w:rPr>
          <w:lang w:val="en-GB"/>
        </w:rPr>
        <w:t xml:space="preserve"> </w:t>
      </w:r>
      <w:r w:rsidRPr="001C0CCF">
        <w:rPr>
          <w:lang w:val="en-GB"/>
        </w:rPr>
        <w:t>be governmental, non-governmental, or even commercial. But the commonality between them would be that they already have resources that they can mobilize towards the project and have a strong interest in continuing to provide services even after a specific project with CARE ends.</w:t>
      </w:r>
    </w:p>
    <w:p w:rsidR="00576483" w:rsidRPr="001C0CCF" w:rsidRDefault="00E57B7E" w:rsidP="00E57B7E">
      <w:pPr>
        <w:tabs>
          <w:tab w:val="left" w:pos="7785"/>
        </w:tabs>
        <w:rPr>
          <w:i/>
          <w:iCs/>
        </w:rPr>
      </w:pPr>
      <w:r>
        <w:rPr>
          <w:i/>
          <w:iCs/>
        </w:rPr>
        <w:t xml:space="preserve"> </w:t>
      </w:r>
    </w:p>
    <w:p w:rsidR="00576483" w:rsidRPr="0034148C" w:rsidRDefault="00576483" w:rsidP="00576483"/>
    <w:p w:rsidR="00576483" w:rsidRPr="0034148C" w:rsidRDefault="00576483" w:rsidP="00576483">
      <w:pPr>
        <w:pStyle w:val="Heading1"/>
      </w:pPr>
      <w:bookmarkStart w:id="364" w:name="_Toc338572146"/>
      <w:bookmarkStart w:id="365" w:name="_Toc338717177"/>
      <w:bookmarkStart w:id="366" w:name="_Toc338750207"/>
      <w:bookmarkStart w:id="367" w:name="_Toc339368800"/>
      <w:r w:rsidRPr="0034148C">
        <w:t>10. References</w:t>
      </w:r>
      <w:bookmarkEnd w:id="364"/>
      <w:bookmarkEnd w:id="365"/>
      <w:bookmarkEnd w:id="366"/>
      <w:bookmarkEnd w:id="367"/>
    </w:p>
    <w:p w:rsidR="003A4A71" w:rsidRDefault="003A4A71" w:rsidP="00C97BA8">
      <w:pPr>
        <w:ind w:left="360" w:hanging="360"/>
      </w:pPr>
      <w:proofErr w:type="gramStart"/>
      <w:r w:rsidRPr="003A4A71">
        <w:rPr>
          <w:lang w:val="en-GB"/>
        </w:rPr>
        <w:t>Brookings-Bern Project on Internal Displacement</w:t>
      </w:r>
      <w:r w:rsidR="00E22A51">
        <w:rPr>
          <w:lang w:val="en-GB"/>
        </w:rPr>
        <w:t>.</w:t>
      </w:r>
      <w:proofErr w:type="gramEnd"/>
      <w:r w:rsidR="00E22A51">
        <w:rPr>
          <w:lang w:val="en-GB"/>
        </w:rPr>
        <w:t xml:space="preserve"> </w:t>
      </w:r>
      <w:proofErr w:type="gramStart"/>
      <w:r w:rsidR="00E22A51">
        <w:rPr>
          <w:lang w:val="en-GB"/>
        </w:rPr>
        <w:t xml:space="preserve">(2010). </w:t>
      </w:r>
      <w:r w:rsidRPr="003A4A71">
        <w:rPr>
          <w:i/>
          <w:lang w:val="en-GB"/>
        </w:rPr>
        <w:t>IASC Framework on Durable Solutions for Internally Displaced Persons</w:t>
      </w:r>
      <w:r w:rsidRPr="003A4A71">
        <w:rPr>
          <w:lang w:val="en-GB"/>
        </w:rPr>
        <w:t>.</w:t>
      </w:r>
      <w:proofErr w:type="gramEnd"/>
      <w:r w:rsidR="00E22A51">
        <w:rPr>
          <w:lang w:val="en-GB"/>
        </w:rPr>
        <w:t xml:space="preserve"> </w:t>
      </w:r>
      <w:proofErr w:type="gramStart"/>
      <w:r w:rsidR="00E22A51">
        <w:rPr>
          <w:lang w:val="en-GB"/>
        </w:rPr>
        <w:t xml:space="preserve">Retrieved October 22, 2012 from </w:t>
      </w:r>
      <w:hyperlink r:id="rId31" w:history="1">
        <w:r w:rsidR="00E22A51" w:rsidRPr="00E22A51">
          <w:rPr>
            <w:rStyle w:val="Hyperlink"/>
          </w:rPr>
          <w:t>http://www.brookings.edu/research/reports/2010/04/durable-solutions</w:t>
        </w:r>
      </w:hyperlink>
      <w:r w:rsidR="00E22A51">
        <w:rPr>
          <w:lang w:val="en-GB"/>
        </w:rPr>
        <w:t>.</w:t>
      </w:r>
      <w:proofErr w:type="gramEnd"/>
    </w:p>
    <w:p w:rsidR="00576483" w:rsidRPr="0034148C" w:rsidRDefault="00135D27" w:rsidP="00C97BA8">
      <w:pPr>
        <w:ind w:left="360" w:hanging="360"/>
      </w:pPr>
      <w:proofErr w:type="gramStart"/>
      <w:r w:rsidRPr="0034148C">
        <w:t xml:space="preserve">GeoWel Research </w:t>
      </w:r>
      <w:r w:rsidR="0070666C" w:rsidRPr="0034148C">
        <w:t>&amp;</w:t>
      </w:r>
      <w:r w:rsidRPr="0034148C">
        <w:t xml:space="preserve"> Caucasus Research Resource Center.</w:t>
      </w:r>
      <w:proofErr w:type="gramEnd"/>
      <w:r w:rsidRPr="0034148C">
        <w:t xml:space="preserve"> </w:t>
      </w:r>
      <w:proofErr w:type="gramStart"/>
      <w:r w:rsidR="0070666C" w:rsidRPr="0034148C">
        <w:t>(</w:t>
      </w:r>
      <w:r w:rsidRPr="0034148C">
        <w:t>2009</w:t>
      </w:r>
      <w:r w:rsidR="0070666C" w:rsidRPr="0034148C">
        <w:t>)</w:t>
      </w:r>
      <w:r w:rsidRPr="0034148C">
        <w:t>.</w:t>
      </w:r>
      <w:r w:rsidR="00576483" w:rsidRPr="0034148C">
        <w:t xml:space="preserve"> </w:t>
      </w:r>
      <w:r w:rsidR="00576483" w:rsidRPr="0034148C">
        <w:rPr>
          <w:i/>
          <w:iCs/>
        </w:rPr>
        <w:t xml:space="preserve">Baseline </w:t>
      </w:r>
      <w:r w:rsidR="0070666C" w:rsidRPr="0034148C">
        <w:rPr>
          <w:i/>
          <w:iCs/>
        </w:rPr>
        <w:t>s</w:t>
      </w:r>
      <w:r w:rsidR="00576483" w:rsidRPr="0034148C">
        <w:rPr>
          <w:i/>
          <w:iCs/>
        </w:rPr>
        <w:t xml:space="preserve">urvey of the IDP </w:t>
      </w:r>
      <w:r w:rsidR="0070666C" w:rsidRPr="0034148C">
        <w:rPr>
          <w:i/>
          <w:iCs/>
        </w:rPr>
        <w:t xml:space="preserve">settlements and their </w:t>
      </w:r>
      <w:proofErr w:type="spellStart"/>
      <w:r w:rsidR="0070666C" w:rsidRPr="0034148C">
        <w:rPr>
          <w:i/>
          <w:iCs/>
        </w:rPr>
        <w:t>neighbouring</w:t>
      </w:r>
      <w:proofErr w:type="spellEnd"/>
      <w:r w:rsidR="0070666C" w:rsidRPr="0034148C">
        <w:rPr>
          <w:i/>
          <w:iCs/>
        </w:rPr>
        <w:t xml:space="preserve"> communities </w:t>
      </w:r>
      <w:r w:rsidR="00576483" w:rsidRPr="0034148C">
        <w:rPr>
          <w:i/>
          <w:iCs/>
        </w:rPr>
        <w:t>in Kvemo Kartli and Shida Kartli</w:t>
      </w:r>
      <w:r w:rsidRPr="0034148C">
        <w:rPr>
          <w:i/>
          <w:iCs/>
        </w:rPr>
        <w:t>.</w:t>
      </w:r>
      <w:proofErr w:type="gramEnd"/>
      <w:r w:rsidRPr="0034148C">
        <w:rPr>
          <w:i/>
          <w:iCs/>
        </w:rPr>
        <w:t xml:space="preserve"> </w:t>
      </w:r>
      <w:r w:rsidRPr="0034148C">
        <w:t>Unpublished report prepared for CARE International in the Caucasus.</w:t>
      </w:r>
    </w:p>
    <w:p w:rsidR="00246068" w:rsidRPr="0034148C" w:rsidRDefault="00246068" w:rsidP="00246068">
      <w:pPr>
        <w:ind w:left="360" w:hanging="360"/>
      </w:pPr>
      <w:r>
        <w:t>Jafarli, B.</w:t>
      </w:r>
      <w:r w:rsidRPr="0034148C">
        <w:t xml:space="preserve"> (2010). </w:t>
      </w:r>
      <w:proofErr w:type="gramStart"/>
      <w:r w:rsidRPr="0034148C">
        <w:rPr>
          <w:i/>
          <w:iCs/>
        </w:rPr>
        <w:t>Stabilization and Integration of IDPs into Mainstream Georgian Society (SIIMS) Project: Evaluation of the SIIMS annual progress and impact.</w:t>
      </w:r>
      <w:proofErr w:type="gramEnd"/>
      <w:r w:rsidRPr="0034148C">
        <w:rPr>
          <w:i/>
          <w:iCs/>
        </w:rPr>
        <w:t xml:space="preserve"> </w:t>
      </w:r>
      <w:r w:rsidRPr="0034148C">
        <w:t>Unpublished report prepared for CARE International in the Caucasus.</w:t>
      </w:r>
    </w:p>
    <w:p w:rsidR="003E361B" w:rsidRPr="0034148C" w:rsidRDefault="005E2158" w:rsidP="00C97BA8">
      <w:pPr>
        <w:ind w:left="360" w:hanging="360"/>
      </w:pPr>
      <w:proofErr w:type="gramStart"/>
      <w:r w:rsidRPr="0034148C">
        <w:t xml:space="preserve">Just, </w:t>
      </w:r>
      <w:proofErr w:type="spellStart"/>
      <w:r w:rsidR="003E361B" w:rsidRPr="0034148C">
        <w:t>F.A.</w:t>
      </w:r>
      <w:proofErr w:type="spellEnd"/>
      <w:r w:rsidR="003E361B" w:rsidRPr="0034148C">
        <w:t xml:space="preserve"> (2011).</w:t>
      </w:r>
      <w:proofErr w:type="gramEnd"/>
      <w:r w:rsidR="003E361B" w:rsidRPr="0034148C">
        <w:t xml:space="preserve"> </w:t>
      </w:r>
      <w:proofErr w:type="gramStart"/>
      <w:r w:rsidRPr="0034148C">
        <w:rPr>
          <w:i/>
          <w:iCs/>
        </w:rPr>
        <w:t>Contributing to durable solutions for people displaced as a result of the August 2008 war</w:t>
      </w:r>
      <w:r w:rsidR="003E361B" w:rsidRPr="0034148C">
        <w:rPr>
          <w:i/>
          <w:iCs/>
        </w:rPr>
        <w:t xml:space="preserve">: </w:t>
      </w:r>
      <w:r w:rsidRPr="0034148C">
        <w:rPr>
          <w:i/>
          <w:iCs/>
        </w:rPr>
        <w:t>CARE’s vision for the sustainability of its support schemes to IDPs</w:t>
      </w:r>
      <w:r w:rsidR="003E361B" w:rsidRPr="0034148C">
        <w:t>.</w:t>
      </w:r>
      <w:proofErr w:type="gramEnd"/>
      <w:r w:rsidR="003E361B" w:rsidRPr="0034148C">
        <w:t xml:space="preserve"> Unpublished report prepared for CARE International in the Caucasus.</w:t>
      </w:r>
    </w:p>
    <w:p w:rsidR="006F10CB" w:rsidRPr="0034148C" w:rsidRDefault="007349C0" w:rsidP="006F10CB">
      <w:pPr>
        <w:ind w:left="360" w:hanging="360"/>
      </w:pPr>
      <w:proofErr w:type="gramStart"/>
      <w:r w:rsidRPr="0034148C">
        <w:t xml:space="preserve">Just, </w:t>
      </w:r>
      <w:proofErr w:type="spellStart"/>
      <w:r w:rsidRPr="0034148C">
        <w:t>F.A.</w:t>
      </w:r>
      <w:proofErr w:type="spellEnd"/>
      <w:r>
        <w:t xml:space="preserve"> </w:t>
      </w:r>
      <w:r w:rsidR="006F10CB" w:rsidRPr="0034148C">
        <w:t>(2012).</w:t>
      </w:r>
      <w:proofErr w:type="gramEnd"/>
      <w:r w:rsidR="006F10CB" w:rsidRPr="0034148C">
        <w:t xml:space="preserve"> </w:t>
      </w:r>
      <w:r w:rsidR="006F10CB" w:rsidRPr="0034148C">
        <w:rPr>
          <w:i/>
          <w:iCs/>
        </w:rPr>
        <w:t xml:space="preserve">Evaluation of the Support to Civil Society Component of CARE’s Stabilization and Integration of IDPs into Mainstream Georgian Society (SIIMS) Project. </w:t>
      </w:r>
      <w:r w:rsidR="006F10CB" w:rsidRPr="0034148C">
        <w:t>Unpublished report prepared for CARE International in the Caucasus.</w:t>
      </w:r>
    </w:p>
    <w:p w:rsidR="006F10CB" w:rsidRPr="0034148C" w:rsidRDefault="00E57B7E" w:rsidP="006F10CB">
      <w:pPr>
        <w:ind w:left="360" w:hanging="360"/>
      </w:pPr>
      <w:r w:rsidRPr="00E57B7E">
        <w:t>Rukhadze</w:t>
      </w:r>
      <w:r w:rsidR="000B3B30">
        <w:t>, N</w:t>
      </w:r>
      <w:r w:rsidR="006F10CB" w:rsidRPr="00E57B7E">
        <w:t xml:space="preserve">. (2012). </w:t>
      </w:r>
      <w:proofErr w:type="gramStart"/>
      <w:r w:rsidR="006F10CB" w:rsidRPr="00E57B7E">
        <w:rPr>
          <w:i/>
          <w:iCs/>
        </w:rPr>
        <w:t xml:space="preserve">Stabilization and Integration of IDPs into Mainstream Georgian Society (SIIMS) Project: Evaluation of the SIIMS project progress and impact for the Capacity </w:t>
      </w:r>
      <w:r w:rsidR="006F10CB" w:rsidRPr="00E57B7E">
        <w:rPr>
          <w:i/>
          <w:iCs/>
        </w:rPr>
        <w:lastRenderedPageBreak/>
        <w:t>Building</w:t>
      </w:r>
      <w:r w:rsidR="006F10CB" w:rsidRPr="0034148C">
        <w:rPr>
          <w:i/>
          <w:iCs/>
        </w:rPr>
        <w:t xml:space="preserve"> of Children and Adolescents component.</w:t>
      </w:r>
      <w:proofErr w:type="gramEnd"/>
      <w:r w:rsidR="006F10CB" w:rsidRPr="0034148C">
        <w:t xml:space="preserve"> Unpublished report prepared for CARE International in the Caucasus.</w:t>
      </w:r>
    </w:p>
    <w:p w:rsidR="001A4CDC" w:rsidRPr="0034148C" w:rsidRDefault="001A4CDC" w:rsidP="00C97BA8">
      <w:pPr>
        <w:ind w:left="360" w:hanging="360"/>
      </w:pPr>
      <w:proofErr w:type="gramStart"/>
      <w:r w:rsidRPr="0034148C">
        <w:t>USAID.</w:t>
      </w:r>
      <w:proofErr w:type="gramEnd"/>
      <w:r w:rsidRPr="0034148C">
        <w:t xml:space="preserve"> (2011).</w:t>
      </w:r>
      <w:r w:rsidRPr="0034148C">
        <w:rPr>
          <w:rFonts w:ascii="Arial" w:eastAsia="Times New Roman" w:hAnsi="Arial" w:cs="Arial"/>
          <w:color w:val="002A6C"/>
          <w:lang w:bidi="th-TH"/>
        </w:rPr>
        <w:t xml:space="preserve"> </w:t>
      </w:r>
      <w:proofErr w:type="gramStart"/>
      <w:r w:rsidRPr="0034148C">
        <w:rPr>
          <w:i/>
          <w:iCs/>
        </w:rPr>
        <w:t>The</w:t>
      </w:r>
      <w:proofErr w:type="gramEnd"/>
      <w:r w:rsidRPr="0034148C">
        <w:rPr>
          <w:i/>
          <w:iCs/>
        </w:rPr>
        <w:t xml:space="preserve"> 201</w:t>
      </w:r>
      <w:r w:rsidR="000D0701" w:rsidRPr="0034148C">
        <w:rPr>
          <w:i/>
          <w:iCs/>
        </w:rPr>
        <w:t>0</w:t>
      </w:r>
      <w:r w:rsidRPr="0034148C">
        <w:rPr>
          <w:i/>
          <w:iCs/>
        </w:rPr>
        <w:t xml:space="preserve"> </w:t>
      </w:r>
      <w:r w:rsidR="00C46570">
        <w:rPr>
          <w:i/>
          <w:iCs/>
        </w:rPr>
        <w:t>NG</w:t>
      </w:r>
      <w:r w:rsidRPr="0034148C">
        <w:rPr>
          <w:i/>
          <w:iCs/>
        </w:rPr>
        <w:t>O Sustainability Index for Central and Eastern Europe and Eurasia</w:t>
      </w:r>
      <w:r w:rsidR="000D0701" w:rsidRPr="0034148C">
        <w:rPr>
          <w:i/>
          <w:iCs/>
        </w:rPr>
        <w:t>: 14</w:t>
      </w:r>
      <w:r w:rsidR="000D0701" w:rsidRPr="0034148C">
        <w:rPr>
          <w:i/>
          <w:iCs/>
          <w:vertAlign w:val="superscript"/>
        </w:rPr>
        <w:t>th</w:t>
      </w:r>
      <w:r w:rsidR="000D0701" w:rsidRPr="0034148C">
        <w:rPr>
          <w:i/>
          <w:iCs/>
        </w:rPr>
        <w:t xml:space="preserve"> Edition, November 2011.</w:t>
      </w:r>
      <w:r w:rsidRPr="0034148C">
        <w:rPr>
          <w:i/>
          <w:iCs/>
        </w:rPr>
        <w:t xml:space="preserve"> </w:t>
      </w:r>
      <w:r w:rsidRPr="0034148C">
        <w:t>Retrieved October 1</w:t>
      </w:r>
      <w:r w:rsidR="00407FB0" w:rsidRPr="0034148C">
        <w:t>3</w:t>
      </w:r>
      <w:r w:rsidRPr="0034148C">
        <w:t>, 201</w:t>
      </w:r>
      <w:r w:rsidR="00407FB0" w:rsidRPr="0034148C">
        <w:t>2</w:t>
      </w:r>
      <w:r w:rsidRPr="0034148C">
        <w:t xml:space="preserve"> from </w:t>
      </w:r>
      <w:hyperlink r:id="rId32" w:history="1">
        <w:r w:rsidR="000D0701" w:rsidRPr="0034148C">
          <w:rPr>
            <w:rStyle w:val="Hyperlink"/>
          </w:rPr>
          <w:t>http://transition.usaid.gov/locations/europe_eurasia/dem_gov/ngoindex/reports/2011/2010complete_document.pdf</w:t>
        </w:r>
      </w:hyperlink>
    </w:p>
    <w:p w:rsidR="00D4293D" w:rsidRPr="0034148C" w:rsidRDefault="00D4293D" w:rsidP="00C97BA8">
      <w:pPr>
        <w:ind w:left="360" w:hanging="360"/>
      </w:pPr>
    </w:p>
    <w:sectPr w:rsidR="00D4293D" w:rsidRPr="0034148C" w:rsidSect="00DC3855">
      <w:pgSz w:w="12240" w:h="15840"/>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5FA" w:rsidRDefault="00F005FA" w:rsidP="00D801DE">
      <w:r>
        <w:separator/>
      </w:r>
    </w:p>
  </w:endnote>
  <w:endnote w:type="continuationSeparator" w:id="0">
    <w:p w:rsidR="00F005FA" w:rsidRDefault="00F005FA" w:rsidP="00D801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34578"/>
      <w:docPartObj>
        <w:docPartGallery w:val="Page Numbers (Bottom of Page)"/>
        <w:docPartUnique/>
      </w:docPartObj>
    </w:sdtPr>
    <w:sdtContent>
      <w:p w:rsidR="00CC415E" w:rsidRDefault="00951551">
        <w:pPr>
          <w:pStyle w:val="Footer"/>
          <w:jc w:val="center"/>
        </w:pPr>
        <w:fldSimple w:instr=" PAGE   \* MERGEFORMAT ">
          <w:r w:rsidR="00CC415E">
            <w:rPr>
              <w:noProof/>
            </w:rPr>
            <w:t>i</w:t>
          </w:r>
        </w:fldSimple>
      </w:p>
    </w:sdtContent>
  </w:sdt>
  <w:p w:rsidR="00CC415E" w:rsidRDefault="00CC41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5E" w:rsidRDefault="00CC415E">
    <w:pPr>
      <w:pStyle w:val="Footer"/>
      <w:jc w:val="center"/>
    </w:pPr>
  </w:p>
  <w:p w:rsidR="00CC415E" w:rsidRDefault="00CC41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5E" w:rsidRDefault="00CC415E">
    <w:pPr>
      <w:pStyle w:val="Footer"/>
      <w:jc w:val="center"/>
    </w:pPr>
    <w:r>
      <w:t xml:space="preserve">- </w:t>
    </w:r>
    <w:sdt>
      <w:sdtPr>
        <w:id w:val="239038617"/>
        <w:docPartObj>
          <w:docPartGallery w:val="Page Numbers (Bottom of Page)"/>
          <w:docPartUnique/>
        </w:docPartObj>
      </w:sdtPr>
      <w:sdtContent>
        <w:fldSimple w:instr=" PAGE   \* MERGEFORMAT ">
          <w:r w:rsidR="003251FA">
            <w:rPr>
              <w:noProof/>
            </w:rPr>
            <w:t>ix</w:t>
          </w:r>
        </w:fldSimple>
        <w:r>
          <w:t xml:space="preserve"> -</w:t>
        </w:r>
      </w:sdtContent>
    </w:sdt>
  </w:p>
  <w:p w:rsidR="00CC415E" w:rsidRDefault="00CC415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5E" w:rsidRDefault="00951551">
    <w:pPr>
      <w:pStyle w:val="Footer"/>
      <w:pBdr>
        <w:top w:val="thinThickSmallGap" w:sz="24" w:space="1" w:color="244482" w:themeColor="accent2" w:themeShade="7F"/>
      </w:pBdr>
      <w:rPr>
        <w:rFonts w:asciiTheme="majorHAnsi" w:hAnsiTheme="majorHAnsi"/>
      </w:rPr>
    </w:pPr>
    <w:sdt>
      <w:sdtPr>
        <w:rPr>
          <w:rFonts w:asciiTheme="majorHAnsi" w:hAnsiTheme="majorHAnsi"/>
        </w:rPr>
        <w:id w:val="76027555"/>
        <w:temporary/>
        <w:showingPlcHdr/>
      </w:sdtPr>
      <w:sdtContent>
        <w:r w:rsidR="00CC415E">
          <w:rPr>
            <w:rFonts w:asciiTheme="majorHAnsi" w:hAnsiTheme="majorHAnsi"/>
          </w:rPr>
          <w:t>[Type text]</w:t>
        </w:r>
      </w:sdtContent>
    </w:sdt>
    <w:r w:rsidR="00CC415E">
      <w:rPr>
        <w:rFonts w:asciiTheme="majorHAnsi" w:hAnsiTheme="majorHAnsi"/>
      </w:rPr>
      <w:ptab w:relativeTo="margin" w:alignment="right" w:leader="none"/>
    </w:r>
    <w:r w:rsidR="00CC415E">
      <w:rPr>
        <w:rFonts w:asciiTheme="majorHAnsi" w:hAnsiTheme="majorHAnsi"/>
      </w:rPr>
      <w:t xml:space="preserve">Page </w:t>
    </w:r>
    <w:fldSimple w:instr=" PAGE   \* MERGEFORMAT ">
      <w:r w:rsidR="00CC415E" w:rsidRPr="0070662F">
        <w:rPr>
          <w:rFonts w:asciiTheme="majorHAnsi" w:hAnsiTheme="majorHAnsi"/>
          <w:noProof/>
        </w:rPr>
        <w:t>7</w:t>
      </w:r>
    </w:fldSimple>
  </w:p>
  <w:p w:rsidR="00CC415E" w:rsidRDefault="00CC415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15E" w:rsidRDefault="00CC415E">
    <w:pPr>
      <w:pStyle w:val="Footer"/>
      <w:pBdr>
        <w:top w:val="thinThickSmallGap" w:sz="24" w:space="1" w:color="244482" w:themeColor="accent2" w:themeShade="7F"/>
      </w:pBdr>
      <w:rPr>
        <w:rFonts w:asciiTheme="majorHAnsi" w:hAnsiTheme="majorHAnsi"/>
      </w:rPr>
    </w:pPr>
    <w:r>
      <w:rPr>
        <w:rFonts w:asciiTheme="majorHAnsi" w:hAnsiTheme="majorHAnsi"/>
      </w:rPr>
      <w:t>SIIMS Final Evaluation</w:t>
    </w:r>
    <w:r>
      <w:rPr>
        <w:rFonts w:asciiTheme="majorHAnsi" w:hAnsiTheme="majorHAnsi"/>
      </w:rPr>
      <w:ptab w:relativeTo="margin" w:alignment="right" w:leader="none"/>
    </w:r>
    <w:r>
      <w:rPr>
        <w:rFonts w:asciiTheme="majorHAnsi" w:hAnsiTheme="majorHAnsi"/>
      </w:rPr>
      <w:t xml:space="preserve">Page </w:t>
    </w:r>
    <w:fldSimple w:instr=" PAGE   \* MERGEFORMAT ">
      <w:r w:rsidR="003251FA" w:rsidRPr="003251FA">
        <w:rPr>
          <w:rFonts w:asciiTheme="majorHAnsi" w:hAnsiTheme="majorHAnsi"/>
          <w:noProof/>
        </w:rPr>
        <w:t>18</w:t>
      </w:r>
    </w:fldSimple>
  </w:p>
  <w:p w:rsidR="00CC415E" w:rsidRDefault="00CC4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5FA" w:rsidRDefault="00F005FA" w:rsidP="00D801DE">
      <w:r>
        <w:separator/>
      </w:r>
    </w:p>
  </w:footnote>
  <w:footnote w:type="continuationSeparator" w:id="0">
    <w:p w:rsidR="00F005FA" w:rsidRDefault="00F005FA" w:rsidP="00D801DE">
      <w:r>
        <w:continuationSeparator/>
      </w:r>
    </w:p>
  </w:footnote>
  <w:footnote w:id="1">
    <w:p w:rsidR="00CC415E" w:rsidRDefault="00CC415E" w:rsidP="00984BFD">
      <w:pPr>
        <w:pStyle w:val="FootnoteText"/>
      </w:pPr>
      <w:r>
        <w:rPr>
          <w:rStyle w:val="FootnoteReference"/>
        </w:rPr>
        <w:footnoteRef/>
      </w:r>
      <w:r>
        <w:t xml:space="preserve"> Because respondents tend to underestimate their income in survey data, the results </w:t>
      </w:r>
      <w:proofErr w:type="gramStart"/>
      <w:r>
        <w:t>should be considered</w:t>
      </w:r>
      <w:proofErr w:type="gramEnd"/>
      <w:r>
        <w:t xml:space="preserve"> mainly for comparative purposes.</w:t>
      </w:r>
    </w:p>
  </w:footnote>
  <w:footnote w:id="2">
    <w:p w:rsidR="00CC415E" w:rsidRPr="002B3C65" w:rsidRDefault="00CC415E" w:rsidP="00984BFD">
      <w:pPr>
        <w:pStyle w:val="FootnoteText"/>
      </w:pPr>
      <w:r>
        <w:rPr>
          <w:rStyle w:val="FootnoteReference"/>
        </w:rPr>
        <w:footnoteRef/>
      </w:r>
      <w:r>
        <w:t xml:space="preserve"> Sales includes g</w:t>
      </w:r>
      <w:r w:rsidRPr="002B3C65">
        <w:t>rocery</w:t>
      </w:r>
      <w:r>
        <w:t xml:space="preserve"> shops</w:t>
      </w:r>
      <w:r w:rsidRPr="002B3C65">
        <w:t xml:space="preserve">, </w:t>
      </w:r>
      <w:r>
        <w:t>s</w:t>
      </w:r>
      <w:r w:rsidRPr="002B3C65">
        <w:t>econdhand goods</w:t>
      </w:r>
      <w:r>
        <w:t xml:space="preserve"> shops</w:t>
      </w:r>
      <w:r w:rsidRPr="002B3C65">
        <w:t xml:space="preserve">, </w:t>
      </w:r>
      <w:r>
        <w:t>s</w:t>
      </w:r>
      <w:r w:rsidRPr="002B3C65">
        <w:t>tationary</w:t>
      </w:r>
      <w:r>
        <w:t xml:space="preserve"> shop and hygiene/beauty products; </w:t>
      </w:r>
      <w:r w:rsidRPr="002B3C65">
        <w:t>services</w:t>
      </w:r>
      <w:r>
        <w:t xml:space="preserve"> includes b</w:t>
      </w:r>
      <w:r w:rsidRPr="002B3C65">
        <w:t xml:space="preserve">arber/salon, </w:t>
      </w:r>
      <w:r>
        <w:t>s</w:t>
      </w:r>
      <w:r w:rsidRPr="002B3C65">
        <w:t xml:space="preserve">ewing, </w:t>
      </w:r>
      <w:r>
        <w:t>u</w:t>
      </w:r>
      <w:r w:rsidRPr="002B3C65">
        <w:t xml:space="preserve">pholstery, </w:t>
      </w:r>
      <w:r>
        <w:t>c</w:t>
      </w:r>
      <w:r w:rsidRPr="002B3C65">
        <w:t xml:space="preserve">offee grinder, </w:t>
      </w:r>
      <w:r>
        <w:t>s</w:t>
      </w:r>
      <w:r w:rsidRPr="002B3C65">
        <w:t xml:space="preserve">hoe repair, </w:t>
      </w:r>
      <w:r>
        <w:t>c</w:t>
      </w:r>
      <w:r w:rsidRPr="002B3C65">
        <w:t xml:space="preserve">anteen, </w:t>
      </w:r>
      <w:r>
        <w:t>d</w:t>
      </w:r>
      <w:r w:rsidRPr="002B3C65">
        <w:t xml:space="preserve">ental, </w:t>
      </w:r>
      <w:r>
        <w:t>c</w:t>
      </w:r>
      <w:r w:rsidRPr="002B3C65">
        <w:t xml:space="preserve">osmetology, </w:t>
      </w:r>
      <w:r>
        <w:t>m</w:t>
      </w:r>
      <w:r w:rsidRPr="002B3C65">
        <w:t xml:space="preserve">assage, </w:t>
      </w:r>
      <w:r>
        <w:t xml:space="preserve"> piano tutoring and c</w:t>
      </w:r>
      <w:r w:rsidRPr="002B3C65">
        <w:t>omputer</w:t>
      </w:r>
      <w:r>
        <w:t>; a</w:t>
      </w:r>
      <w:r w:rsidRPr="002B3C65">
        <w:t>gricultural production</w:t>
      </w:r>
      <w:r>
        <w:t xml:space="preserve"> includes g</w:t>
      </w:r>
      <w:r w:rsidRPr="002B3C65">
        <w:t xml:space="preserve">reenhouse, </w:t>
      </w:r>
      <w:r>
        <w:t>t</w:t>
      </w:r>
      <w:r w:rsidRPr="002B3C65">
        <w:t>urkey demo</w:t>
      </w:r>
      <w:r>
        <w:t>-farm</w:t>
      </w:r>
      <w:r w:rsidRPr="002B3C65">
        <w:t xml:space="preserve">, </w:t>
      </w:r>
      <w:r>
        <w:t>b</w:t>
      </w:r>
      <w:r w:rsidRPr="002B3C65">
        <w:t xml:space="preserve">erry culture, </w:t>
      </w:r>
      <w:r>
        <w:t>s</w:t>
      </w:r>
      <w:r w:rsidRPr="002B3C65">
        <w:t>moked fish</w:t>
      </w:r>
      <w:r>
        <w:t xml:space="preserve"> production</w:t>
      </w:r>
      <w:r w:rsidRPr="002B3C65">
        <w:t xml:space="preserve">, </w:t>
      </w:r>
      <w:r>
        <w:t>m</w:t>
      </w:r>
      <w:r w:rsidRPr="002B3C65">
        <w:t xml:space="preserve">ill, </w:t>
      </w:r>
      <w:r>
        <w:t>and b</w:t>
      </w:r>
      <w:r w:rsidRPr="002B3C65">
        <w:t>ee-keeping</w:t>
      </w:r>
      <w:r>
        <w:t>; other</w:t>
      </w:r>
      <w:r w:rsidRPr="002B3C65">
        <w:t xml:space="preserve"> production </w:t>
      </w:r>
      <w:r>
        <w:t>includes</w:t>
      </w:r>
      <w:r w:rsidRPr="002B3C65">
        <w:t xml:space="preserve"> bakery, thick felt</w:t>
      </w:r>
      <w:r>
        <w:t xml:space="preserve"> items</w:t>
      </w:r>
      <w:r w:rsidRPr="002B3C65">
        <w:t xml:space="preserve">, furniture, </w:t>
      </w:r>
      <w:r>
        <w:t xml:space="preserve">and </w:t>
      </w:r>
      <w:r w:rsidRPr="002B3C65">
        <w:t>semi</w:t>
      </w:r>
      <w:r>
        <w:t>-</w:t>
      </w:r>
      <w:r w:rsidRPr="002B3C65">
        <w:t>manufactured goods</w:t>
      </w:r>
      <w:r>
        <w:t>.</w:t>
      </w:r>
    </w:p>
  </w:footnote>
  <w:footnote w:id="3">
    <w:p w:rsidR="00CC415E" w:rsidRDefault="00CC415E">
      <w:pPr>
        <w:pStyle w:val="FootnoteText"/>
      </w:pPr>
      <w:r>
        <w:rPr>
          <w:rStyle w:val="FootnoteReference"/>
        </w:rPr>
        <w:footnoteRef/>
      </w:r>
      <w:r>
        <w:t xml:space="preserve"> For Round 1 grants, this was 27 months (April 2010-June 2012)</w:t>
      </w:r>
      <w:proofErr w:type="gramStart"/>
      <w:r>
        <w:t>;</w:t>
      </w:r>
      <w:proofErr w:type="gramEnd"/>
      <w:r>
        <w:t xml:space="preserve"> for Round 2, 16 months (March 2011-June 2012) and for Round 3, 8 months (November 2011-June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D89"/>
    <w:multiLevelType w:val="hybridMultilevel"/>
    <w:tmpl w:val="BD9A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A0875"/>
    <w:multiLevelType w:val="hybridMultilevel"/>
    <w:tmpl w:val="3F6466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67778DC"/>
    <w:multiLevelType w:val="hybridMultilevel"/>
    <w:tmpl w:val="AF783316"/>
    <w:lvl w:ilvl="0" w:tplc="3E4427C0">
      <w:start w:val="4"/>
      <w:numFmt w:val="bullet"/>
      <w:lvlText w:val="-"/>
      <w:lvlJc w:val="left"/>
      <w:pPr>
        <w:ind w:left="720" w:hanging="360"/>
      </w:pPr>
      <w:rPr>
        <w:rFonts w:ascii="Cambria" w:eastAsia="Times New Roman" w:hAnsi="Cambria" w:cs="Times New Roman" w:hint="default"/>
      </w:rPr>
    </w:lvl>
    <w:lvl w:ilvl="1" w:tplc="8364354C">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66E21"/>
    <w:multiLevelType w:val="hybridMultilevel"/>
    <w:tmpl w:val="5C6C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D07862"/>
    <w:multiLevelType w:val="hybridMultilevel"/>
    <w:tmpl w:val="B90C8774"/>
    <w:lvl w:ilvl="0" w:tplc="A61C152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107003"/>
    <w:multiLevelType w:val="hybridMultilevel"/>
    <w:tmpl w:val="FDC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ED3192"/>
    <w:multiLevelType w:val="hybridMultilevel"/>
    <w:tmpl w:val="EDFE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C1810"/>
    <w:multiLevelType w:val="hybridMultilevel"/>
    <w:tmpl w:val="A25E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7775D8"/>
    <w:multiLevelType w:val="hybridMultilevel"/>
    <w:tmpl w:val="885CB7D8"/>
    <w:lvl w:ilvl="0" w:tplc="B7886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CE3E94"/>
    <w:multiLevelType w:val="hybridMultilevel"/>
    <w:tmpl w:val="F3CC60FA"/>
    <w:lvl w:ilvl="0" w:tplc="ABDA679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165BD3"/>
    <w:multiLevelType w:val="hybridMultilevel"/>
    <w:tmpl w:val="CAB89AF6"/>
    <w:lvl w:ilvl="0" w:tplc="41026290">
      <w:start w:val="1"/>
      <w:numFmt w:val="bullet"/>
      <w:lvlText w:val=""/>
      <w:lvlJc w:val="left"/>
      <w:pPr>
        <w:tabs>
          <w:tab w:val="num" w:pos="720"/>
        </w:tabs>
        <w:ind w:left="720" w:hanging="360"/>
      </w:pPr>
      <w:rPr>
        <w:rFonts w:ascii="Wingdings 2" w:hAnsi="Wingdings 2" w:hint="default"/>
        <w:color w:val="FE8637" w:themeColor="accent1"/>
      </w:rPr>
    </w:lvl>
    <w:lvl w:ilvl="1" w:tplc="3FBA1D7A" w:tentative="1">
      <w:start w:val="1"/>
      <w:numFmt w:val="bullet"/>
      <w:lvlText w:val=""/>
      <w:lvlJc w:val="left"/>
      <w:pPr>
        <w:tabs>
          <w:tab w:val="num" w:pos="1440"/>
        </w:tabs>
        <w:ind w:left="1440" w:hanging="360"/>
      </w:pPr>
      <w:rPr>
        <w:rFonts w:ascii="Wingdings 2" w:hAnsi="Wingdings 2" w:hint="default"/>
      </w:rPr>
    </w:lvl>
    <w:lvl w:ilvl="2" w:tplc="24CC2BD8" w:tentative="1">
      <w:start w:val="1"/>
      <w:numFmt w:val="bullet"/>
      <w:lvlText w:val=""/>
      <w:lvlJc w:val="left"/>
      <w:pPr>
        <w:tabs>
          <w:tab w:val="num" w:pos="2160"/>
        </w:tabs>
        <w:ind w:left="2160" w:hanging="360"/>
      </w:pPr>
      <w:rPr>
        <w:rFonts w:ascii="Wingdings 2" w:hAnsi="Wingdings 2" w:hint="default"/>
      </w:rPr>
    </w:lvl>
    <w:lvl w:ilvl="3" w:tplc="7CC29952" w:tentative="1">
      <w:start w:val="1"/>
      <w:numFmt w:val="bullet"/>
      <w:lvlText w:val=""/>
      <w:lvlJc w:val="left"/>
      <w:pPr>
        <w:tabs>
          <w:tab w:val="num" w:pos="2880"/>
        </w:tabs>
        <w:ind w:left="2880" w:hanging="360"/>
      </w:pPr>
      <w:rPr>
        <w:rFonts w:ascii="Wingdings 2" w:hAnsi="Wingdings 2" w:hint="default"/>
      </w:rPr>
    </w:lvl>
    <w:lvl w:ilvl="4" w:tplc="8D206AB2" w:tentative="1">
      <w:start w:val="1"/>
      <w:numFmt w:val="bullet"/>
      <w:lvlText w:val=""/>
      <w:lvlJc w:val="left"/>
      <w:pPr>
        <w:tabs>
          <w:tab w:val="num" w:pos="3600"/>
        </w:tabs>
        <w:ind w:left="3600" w:hanging="360"/>
      </w:pPr>
      <w:rPr>
        <w:rFonts w:ascii="Wingdings 2" w:hAnsi="Wingdings 2" w:hint="default"/>
      </w:rPr>
    </w:lvl>
    <w:lvl w:ilvl="5" w:tplc="A544A866" w:tentative="1">
      <w:start w:val="1"/>
      <w:numFmt w:val="bullet"/>
      <w:lvlText w:val=""/>
      <w:lvlJc w:val="left"/>
      <w:pPr>
        <w:tabs>
          <w:tab w:val="num" w:pos="4320"/>
        </w:tabs>
        <w:ind w:left="4320" w:hanging="360"/>
      </w:pPr>
      <w:rPr>
        <w:rFonts w:ascii="Wingdings 2" w:hAnsi="Wingdings 2" w:hint="default"/>
      </w:rPr>
    </w:lvl>
    <w:lvl w:ilvl="6" w:tplc="DC1CCDCA" w:tentative="1">
      <w:start w:val="1"/>
      <w:numFmt w:val="bullet"/>
      <w:lvlText w:val=""/>
      <w:lvlJc w:val="left"/>
      <w:pPr>
        <w:tabs>
          <w:tab w:val="num" w:pos="5040"/>
        </w:tabs>
        <w:ind w:left="5040" w:hanging="360"/>
      </w:pPr>
      <w:rPr>
        <w:rFonts w:ascii="Wingdings 2" w:hAnsi="Wingdings 2" w:hint="default"/>
      </w:rPr>
    </w:lvl>
    <w:lvl w:ilvl="7" w:tplc="56C434D0" w:tentative="1">
      <w:start w:val="1"/>
      <w:numFmt w:val="bullet"/>
      <w:lvlText w:val=""/>
      <w:lvlJc w:val="left"/>
      <w:pPr>
        <w:tabs>
          <w:tab w:val="num" w:pos="5760"/>
        </w:tabs>
        <w:ind w:left="5760" w:hanging="360"/>
      </w:pPr>
      <w:rPr>
        <w:rFonts w:ascii="Wingdings 2" w:hAnsi="Wingdings 2" w:hint="default"/>
      </w:rPr>
    </w:lvl>
    <w:lvl w:ilvl="8" w:tplc="8A9288F0" w:tentative="1">
      <w:start w:val="1"/>
      <w:numFmt w:val="bullet"/>
      <w:lvlText w:val=""/>
      <w:lvlJc w:val="left"/>
      <w:pPr>
        <w:tabs>
          <w:tab w:val="num" w:pos="6480"/>
        </w:tabs>
        <w:ind w:left="6480" w:hanging="360"/>
      </w:pPr>
      <w:rPr>
        <w:rFonts w:ascii="Wingdings 2" w:hAnsi="Wingdings 2" w:hint="default"/>
      </w:rPr>
    </w:lvl>
  </w:abstractNum>
  <w:abstractNum w:abstractNumId="11">
    <w:nsid w:val="43490868"/>
    <w:multiLevelType w:val="hybridMultilevel"/>
    <w:tmpl w:val="5420A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7363DD"/>
    <w:multiLevelType w:val="hybridMultilevel"/>
    <w:tmpl w:val="E5D0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EC65AC"/>
    <w:multiLevelType w:val="hybridMultilevel"/>
    <w:tmpl w:val="AB209186"/>
    <w:lvl w:ilvl="0" w:tplc="ABDA679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66317F"/>
    <w:multiLevelType w:val="hybridMultilevel"/>
    <w:tmpl w:val="13667866"/>
    <w:lvl w:ilvl="0" w:tplc="7EE0CD30">
      <w:start w:val="1"/>
      <w:numFmt w:val="bullet"/>
      <w:lvlText w:val=""/>
      <w:lvlJc w:val="left"/>
      <w:pPr>
        <w:tabs>
          <w:tab w:val="num" w:pos="720"/>
        </w:tabs>
        <w:ind w:left="720" w:hanging="360"/>
      </w:pPr>
      <w:rPr>
        <w:rFonts w:ascii="Wingdings 2" w:hAnsi="Wingdings 2" w:hint="default"/>
      </w:rPr>
    </w:lvl>
    <w:lvl w:ilvl="1" w:tplc="3FBA1D7A" w:tentative="1">
      <w:start w:val="1"/>
      <w:numFmt w:val="bullet"/>
      <w:lvlText w:val=""/>
      <w:lvlJc w:val="left"/>
      <w:pPr>
        <w:tabs>
          <w:tab w:val="num" w:pos="1440"/>
        </w:tabs>
        <w:ind w:left="1440" w:hanging="360"/>
      </w:pPr>
      <w:rPr>
        <w:rFonts w:ascii="Wingdings 2" w:hAnsi="Wingdings 2" w:hint="default"/>
      </w:rPr>
    </w:lvl>
    <w:lvl w:ilvl="2" w:tplc="24CC2BD8" w:tentative="1">
      <w:start w:val="1"/>
      <w:numFmt w:val="bullet"/>
      <w:lvlText w:val=""/>
      <w:lvlJc w:val="left"/>
      <w:pPr>
        <w:tabs>
          <w:tab w:val="num" w:pos="2160"/>
        </w:tabs>
        <w:ind w:left="2160" w:hanging="360"/>
      </w:pPr>
      <w:rPr>
        <w:rFonts w:ascii="Wingdings 2" w:hAnsi="Wingdings 2" w:hint="default"/>
      </w:rPr>
    </w:lvl>
    <w:lvl w:ilvl="3" w:tplc="7CC29952" w:tentative="1">
      <w:start w:val="1"/>
      <w:numFmt w:val="bullet"/>
      <w:lvlText w:val=""/>
      <w:lvlJc w:val="left"/>
      <w:pPr>
        <w:tabs>
          <w:tab w:val="num" w:pos="2880"/>
        </w:tabs>
        <w:ind w:left="2880" w:hanging="360"/>
      </w:pPr>
      <w:rPr>
        <w:rFonts w:ascii="Wingdings 2" w:hAnsi="Wingdings 2" w:hint="default"/>
      </w:rPr>
    </w:lvl>
    <w:lvl w:ilvl="4" w:tplc="8D206AB2" w:tentative="1">
      <w:start w:val="1"/>
      <w:numFmt w:val="bullet"/>
      <w:lvlText w:val=""/>
      <w:lvlJc w:val="left"/>
      <w:pPr>
        <w:tabs>
          <w:tab w:val="num" w:pos="3600"/>
        </w:tabs>
        <w:ind w:left="3600" w:hanging="360"/>
      </w:pPr>
      <w:rPr>
        <w:rFonts w:ascii="Wingdings 2" w:hAnsi="Wingdings 2" w:hint="default"/>
      </w:rPr>
    </w:lvl>
    <w:lvl w:ilvl="5" w:tplc="A544A866" w:tentative="1">
      <w:start w:val="1"/>
      <w:numFmt w:val="bullet"/>
      <w:lvlText w:val=""/>
      <w:lvlJc w:val="left"/>
      <w:pPr>
        <w:tabs>
          <w:tab w:val="num" w:pos="4320"/>
        </w:tabs>
        <w:ind w:left="4320" w:hanging="360"/>
      </w:pPr>
      <w:rPr>
        <w:rFonts w:ascii="Wingdings 2" w:hAnsi="Wingdings 2" w:hint="default"/>
      </w:rPr>
    </w:lvl>
    <w:lvl w:ilvl="6" w:tplc="DC1CCDCA" w:tentative="1">
      <w:start w:val="1"/>
      <w:numFmt w:val="bullet"/>
      <w:lvlText w:val=""/>
      <w:lvlJc w:val="left"/>
      <w:pPr>
        <w:tabs>
          <w:tab w:val="num" w:pos="5040"/>
        </w:tabs>
        <w:ind w:left="5040" w:hanging="360"/>
      </w:pPr>
      <w:rPr>
        <w:rFonts w:ascii="Wingdings 2" w:hAnsi="Wingdings 2" w:hint="default"/>
      </w:rPr>
    </w:lvl>
    <w:lvl w:ilvl="7" w:tplc="56C434D0" w:tentative="1">
      <w:start w:val="1"/>
      <w:numFmt w:val="bullet"/>
      <w:lvlText w:val=""/>
      <w:lvlJc w:val="left"/>
      <w:pPr>
        <w:tabs>
          <w:tab w:val="num" w:pos="5760"/>
        </w:tabs>
        <w:ind w:left="5760" w:hanging="360"/>
      </w:pPr>
      <w:rPr>
        <w:rFonts w:ascii="Wingdings 2" w:hAnsi="Wingdings 2" w:hint="default"/>
      </w:rPr>
    </w:lvl>
    <w:lvl w:ilvl="8" w:tplc="8A9288F0" w:tentative="1">
      <w:start w:val="1"/>
      <w:numFmt w:val="bullet"/>
      <w:lvlText w:val=""/>
      <w:lvlJc w:val="left"/>
      <w:pPr>
        <w:tabs>
          <w:tab w:val="num" w:pos="6480"/>
        </w:tabs>
        <w:ind w:left="6480" w:hanging="360"/>
      </w:pPr>
      <w:rPr>
        <w:rFonts w:ascii="Wingdings 2" w:hAnsi="Wingdings 2" w:hint="default"/>
      </w:rPr>
    </w:lvl>
  </w:abstractNum>
  <w:abstractNum w:abstractNumId="15">
    <w:nsid w:val="52A12486"/>
    <w:multiLevelType w:val="hybridMultilevel"/>
    <w:tmpl w:val="E8F46A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2EA2694"/>
    <w:multiLevelType w:val="hybridMultilevel"/>
    <w:tmpl w:val="6D64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BE4B86"/>
    <w:multiLevelType w:val="singleLevel"/>
    <w:tmpl w:val="0409000F"/>
    <w:lvl w:ilvl="0">
      <w:start w:val="1"/>
      <w:numFmt w:val="decimal"/>
      <w:lvlText w:val="%1."/>
      <w:lvlJc w:val="left"/>
      <w:pPr>
        <w:tabs>
          <w:tab w:val="num" w:pos="360"/>
        </w:tabs>
        <w:ind w:left="360" w:hanging="360"/>
      </w:pPr>
    </w:lvl>
  </w:abstractNum>
  <w:abstractNum w:abstractNumId="18">
    <w:nsid w:val="603D4EB9"/>
    <w:multiLevelType w:val="hybridMultilevel"/>
    <w:tmpl w:val="A7F87AC6"/>
    <w:lvl w:ilvl="0" w:tplc="ABDA679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247DC1"/>
    <w:multiLevelType w:val="hybridMultilevel"/>
    <w:tmpl w:val="2F3EDFF0"/>
    <w:lvl w:ilvl="0" w:tplc="BD74ADCA">
      <w:start w:val="1"/>
      <w:numFmt w:val="bullet"/>
      <w:pStyle w:val="bulletedtext"/>
      <w:lvlText w:val=""/>
      <w:lvlJc w:val="left"/>
      <w:pPr>
        <w:ind w:left="1800" w:hanging="360"/>
      </w:pPr>
      <w:rPr>
        <w:rFonts w:ascii="Symbol" w:hAnsi="Symbol" w:hint="default"/>
        <w:sz w:val="1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7316DB0"/>
    <w:multiLevelType w:val="hybridMultilevel"/>
    <w:tmpl w:val="888E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5"/>
  </w:num>
  <w:num w:numId="4">
    <w:abstractNumId w:val="1"/>
  </w:num>
  <w:num w:numId="5">
    <w:abstractNumId w:val="2"/>
  </w:num>
  <w:num w:numId="6">
    <w:abstractNumId w:val="19"/>
  </w:num>
  <w:num w:numId="7">
    <w:abstractNumId w:val="6"/>
  </w:num>
  <w:num w:numId="8">
    <w:abstractNumId w:val="4"/>
  </w:num>
  <w:num w:numId="9">
    <w:abstractNumId w:val="5"/>
  </w:num>
  <w:num w:numId="10">
    <w:abstractNumId w:val="8"/>
  </w:num>
  <w:num w:numId="11">
    <w:abstractNumId w:val="9"/>
  </w:num>
  <w:num w:numId="12">
    <w:abstractNumId w:val="13"/>
  </w:num>
  <w:num w:numId="13">
    <w:abstractNumId w:val="18"/>
  </w:num>
  <w:num w:numId="14">
    <w:abstractNumId w:val="3"/>
  </w:num>
  <w:num w:numId="15">
    <w:abstractNumId w:val="11"/>
  </w:num>
  <w:num w:numId="16">
    <w:abstractNumId w:val="16"/>
  </w:num>
  <w:num w:numId="17">
    <w:abstractNumId w:val="20"/>
  </w:num>
  <w:num w:numId="18">
    <w:abstractNumId w:val="12"/>
  </w:num>
  <w:num w:numId="19">
    <w:abstractNumId w:val="0"/>
  </w:num>
  <w:num w:numId="20">
    <w:abstractNumId w:val="7"/>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activeWritingStyle w:appName="MSWord" w:lang="en-US" w:vendorID="64" w:dllVersion="131078" w:nlCheck="1" w:checkStyle="0"/>
  <w:activeWritingStyle w:appName="MSWord" w:lang="en-GB"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2407B6"/>
    <w:rsid w:val="0001013D"/>
    <w:rsid w:val="000158F1"/>
    <w:rsid w:val="000216D5"/>
    <w:rsid w:val="00022568"/>
    <w:rsid w:val="00023500"/>
    <w:rsid w:val="00025B02"/>
    <w:rsid w:val="000263CE"/>
    <w:rsid w:val="000311AB"/>
    <w:rsid w:val="000322D5"/>
    <w:rsid w:val="0003523E"/>
    <w:rsid w:val="000358DD"/>
    <w:rsid w:val="00042148"/>
    <w:rsid w:val="00043B3F"/>
    <w:rsid w:val="00047A70"/>
    <w:rsid w:val="00052F6C"/>
    <w:rsid w:val="000571C8"/>
    <w:rsid w:val="00060F27"/>
    <w:rsid w:val="00063869"/>
    <w:rsid w:val="000729FE"/>
    <w:rsid w:val="0007566E"/>
    <w:rsid w:val="00080D06"/>
    <w:rsid w:val="000819CD"/>
    <w:rsid w:val="00081A92"/>
    <w:rsid w:val="00082821"/>
    <w:rsid w:val="00082A79"/>
    <w:rsid w:val="000837A8"/>
    <w:rsid w:val="00092743"/>
    <w:rsid w:val="000943A1"/>
    <w:rsid w:val="000A1647"/>
    <w:rsid w:val="000A2524"/>
    <w:rsid w:val="000A46D3"/>
    <w:rsid w:val="000A4760"/>
    <w:rsid w:val="000A4BBF"/>
    <w:rsid w:val="000B24EA"/>
    <w:rsid w:val="000B3B30"/>
    <w:rsid w:val="000B5638"/>
    <w:rsid w:val="000B638F"/>
    <w:rsid w:val="000C0007"/>
    <w:rsid w:val="000C0A58"/>
    <w:rsid w:val="000C6B56"/>
    <w:rsid w:val="000D0701"/>
    <w:rsid w:val="000D6B8B"/>
    <w:rsid w:val="000D7CD0"/>
    <w:rsid w:val="000E09D4"/>
    <w:rsid w:val="000E2522"/>
    <w:rsid w:val="000E2B7D"/>
    <w:rsid w:val="000E2D55"/>
    <w:rsid w:val="000E4440"/>
    <w:rsid w:val="000E4E3F"/>
    <w:rsid w:val="000E5D82"/>
    <w:rsid w:val="000F0C37"/>
    <w:rsid w:val="000F3AE8"/>
    <w:rsid w:val="00106D76"/>
    <w:rsid w:val="00107881"/>
    <w:rsid w:val="00107D22"/>
    <w:rsid w:val="00110FC4"/>
    <w:rsid w:val="00112DA7"/>
    <w:rsid w:val="00113AD0"/>
    <w:rsid w:val="00114B38"/>
    <w:rsid w:val="00114C60"/>
    <w:rsid w:val="00124D10"/>
    <w:rsid w:val="00127091"/>
    <w:rsid w:val="00135D27"/>
    <w:rsid w:val="001371AC"/>
    <w:rsid w:val="00137AA8"/>
    <w:rsid w:val="001413D1"/>
    <w:rsid w:val="0014161F"/>
    <w:rsid w:val="001475A1"/>
    <w:rsid w:val="00155314"/>
    <w:rsid w:val="00156099"/>
    <w:rsid w:val="001623C3"/>
    <w:rsid w:val="001624CA"/>
    <w:rsid w:val="0016333F"/>
    <w:rsid w:val="00174164"/>
    <w:rsid w:val="0017526D"/>
    <w:rsid w:val="00182723"/>
    <w:rsid w:val="00183F89"/>
    <w:rsid w:val="00190F2A"/>
    <w:rsid w:val="001950AF"/>
    <w:rsid w:val="0019678C"/>
    <w:rsid w:val="00197C69"/>
    <w:rsid w:val="001A045D"/>
    <w:rsid w:val="001A48CA"/>
    <w:rsid w:val="001A4CDC"/>
    <w:rsid w:val="001B30B4"/>
    <w:rsid w:val="001C0CCF"/>
    <w:rsid w:val="001C23A5"/>
    <w:rsid w:val="001C75A5"/>
    <w:rsid w:val="001D0D18"/>
    <w:rsid w:val="001D351B"/>
    <w:rsid w:val="001E0CD3"/>
    <w:rsid w:val="001E3AF9"/>
    <w:rsid w:val="001E5F16"/>
    <w:rsid w:val="001E7130"/>
    <w:rsid w:val="001F137B"/>
    <w:rsid w:val="001F1D61"/>
    <w:rsid w:val="001F3A03"/>
    <w:rsid w:val="001F43FE"/>
    <w:rsid w:val="00206956"/>
    <w:rsid w:val="00206AEC"/>
    <w:rsid w:val="002269A7"/>
    <w:rsid w:val="002301C8"/>
    <w:rsid w:val="00231B6D"/>
    <w:rsid w:val="00231C91"/>
    <w:rsid w:val="0023518C"/>
    <w:rsid w:val="002407B6"/>
    <w:rsid w:val="002432FD"/>
    <w:rsid w:val="00246068"/>
    <w:rsid w:val="002476C3"/>
    <w:rsid w:val="00251170"/>
    <w:rsid w:val="00254C0C"/>
    <w:rsid w:val="002564FD"/>
    <w:rsid w:val="0026257D"/>
    <w:rsid w:val="00263638"/>
    <w:rsid w:val="002715B5"/>
    <w:rsid w:val="00271F4B"/>
    <w:rsid w:val="00272520"/>
    <w:rsid w:val="00272E9C"/>
    <w:rsid w:val="002739D5"/>
    <w:rsid w:val="0027741C"/>
    <w:rsid w:val="00284D71"/>
    <w:rsid w:val="00287918"/>
    <w:rsid w:val="00296D85"/>
    <w:rsid w:val="0029733C"/>
    <w:rsid w:val="00297B61"/>
    <w:rsid w:val="00297B88"/>
    <w:rsid w:val="002A2635"/>
    <w:rsid w:val="002A409E"/>
    <w:rsid w:val="002A5044"/>
    <w:rsid w:val="002A53BE"/>
    <w:rsid w:val="002A58D8"/>
    <w:rsid w:val="002B07EA"/>
    <w:rsid w:val="002B3758"/>
    <w:rsid w:val="002B3C65"/>
    <w:rsid w:val="002C5EA0"/>
    <w:rsid w:val="002C611F"/>
    <w:rsid w:val="002E1C83"/>
    <w:rsid w:val="002E2090"/>
    <w:rsid w:val="002E3042"/>
    <w:rsid w:val="002E65E7"/>
    <w:rsid w:val="002E7705"/>
    <w:rsid w:val="002F0A42"/>
    <w:rsid w:val="002F7D2A"/>
    <w:rsid w:val="00300077"/>
    <w:rsid w:val="00306D91"/>
    <w:rsid w:val="00314401"/>
    <w:rsid w:val="00315548"/>
    <w:rsid w:val="00317D4F"/>
    <w:rsid w:val="003251FA"/>
    <w:rsid w:val="00331C00"/>
    <w:rsid w:val="0033249D"/>
    <w:rsid w:val="003377B4"/>
    <w:rsid w:val="0034148C"/>
    <w:rsid w:val="00341E7E"/>
    <w:rsid w:val="00342AB1"/>
    <w:rsid w:val="00343532"/>
    <w:rsid w:val="00355451"/>
    <w:rsid w:val="003601C6"/>
    <w:rsid w:val="00362615"/>
    <w:rsid w:val="003650D6"/>
    <w:rsid w:val="00367756"/>
    <w:rsid w:val="00367FDA"/>
    <w:rsid w:val="00370935"/>
    <w:rsid w:val="00373AE7"/>
    <w:rsid w:val="00380384"/>
    <w:rsid w:val="00380D5E"/>
    <w:rsid w:val="00382C58"/>
    <w:rsid w:val="00390D7E"/>
    <w:rsid w:val="00393075"/>
    <w:rsid w:val="003A4A71"/>
    <w:rsid w:val="003B7F25"/>
    <w:rsid w:val="003C16EF"/>
    <w:rsid w:val="003C170B"/>
    <w:rsid w:val="003C1EE2"/>
    <w:rsid w:val="003C3E88"/>
    <w:rsid w:val="003C4CA4"/>
    <w:rsid w:val="003C5BDD"/>
    <w:rsid w:val="003C71CF"/>
    <w:rsid w:val="003D0076"/>
    <w:rsid w:val="003D03CD"/>
    <w:rsid w:val="003D3F0C"/>
    <w:rsid w:val="003E0501"/>
    <w:rsid w:val="003E12CF"/>
    <w:rsid w:val="003E3452"/>
    <w:rsid w:val="003E361B"/>
    <w:rsid w:val="003E47E4"/>
    <w:rsid w:val="003F1BA5"/>
    <w:rsid w:val="003F22D1"/>
    <w:rsid w:val="003F3D3C"/>
    <w:rsid w:val="003F6197"/>
    <w:rsid w:val="003F652C"/>
    <w:rsid w:val="00400649"/>
    <w:rsid w:val="00407FB0"/>
    <w:rsid w:val="00425A77"/>
    <w:rsid w:val="00427250"/>
    <w:rsid w:val="00427ACA"/>
    <w:rsid w:val="00441217"/>
    <w:rsid w:val="0044725C"/>
    <w:rsid w:val="0044745C"/>
    <w:rsid w:val="004517EA"/>
    <w:rsid w:val="00453411"/>
    <w:rsid w:val="00454748"/>
    <w:rsid w:val="00454B59"/>
    <w:rsid w:val="00455474"/>
    <w:rsid w:val="0046020E"/>
    <w:rsid w:val="0047073D"/>
    <w:rsid w:val="00472B9C"/>
    <w:rsid w:val="00473B99"/>
    <w:rsid w:val="00475419"/>
    <w:rsid w:val="00476720"/>
    <w:rsid w:val="00490D34"/>
    <w:rsid w:val="00491BE0"/>
    <w:rsid w:val="00493662"/>
    <w:rsid w:val="00495DC7"/>
    <w:rsid w:val="00496502"/>
    <w:rsid w:val="00497F80"/>
    <w:rsid w:val="004A005D"/>
    <w:rsid w:val="004A195F"/>
    <w:rsid w:val="004B1622"/>
    <w:rsid w:val="004B43DA"/>
    <w:rsid w:val="004C1FF3"/>
    <w:rsid w:val="004C37E4"/>
    <w:rsid w:val="004D0C87"/>
    <w:rsid w:val="004D27CB"/>
    <w:rsid w:val="004D4184"/>
    <w:rsid w:val="004E0963"/>
    <w:rsid w:val="004E2D7A"/>
    <w:rsid w:val="004E48FF"/>
    <w:rsid w:val="004F402C"/>
    <w:rsid w:val="004F4E73"/>
    <w:rsid w:val="00501E44"/>
    <w:rsid w:val="00507BA2"/>
    <w:rsid w:val="00514F50"/>
    <w:rsid w:val="00516ECE"/>
    <w:rsid w:val="00521D8B"/>
    <w:rsid w:val="005246DF"/>
    <w:rsid w:val="00527D70"/>
    <w:rsid w:val="005302C9"/>
    <w:rsid w:val="00534170"/>
    <w:rsid w:val="0053623A"/>
    <w:rsid w:val="00540EA8"/>
    <w:rsid w:val="00541C64"/>
    <w:rsid w:val="00555BE4"/>
    <w:rsid w:val="005637B8"/>
    <w:rsid w:val="00567E9C"/>
    <w:rsid w:val="00572ED6"/>
    <w:rsid w:val="00573F6B"/>
    <w:rsid w:val="005745F2"/>
    <w:rsid w:val="00576437"/>
    <w:rsid w:val="00576483"/>
    <w:rsid w:val="00577361"/>
    <w:rsid w:val="00591696"/>
    <w:rsid w:val="00592C19"/>
    <w:rsid w:val="005A0A83"/>
    <w:rsid w:val="005A3BD1"/>
    <w:rsid w:val="005A78CF"/>
    <w:rsid w:val="005A7B48"/>
    <w:rsid w:val="005B3F9D"/>
    <w:rsid w:val="005B6733"/>
    <w:rsid w:val="005B7965"/>
    <w:rsid w:val="005C32E2"/>
    <w:rsid w:val="005D3511"/>
    <w:rsid w:val="005D42F6"/>
    <w:rsid w:val="005E1416"/>
    <w:rsid w:val="005E2158"/>
    <w:rsid w:val="005E2224"/>
    <w:rsid w:val="005E2F20"/>
    <w:rsid w:val="005E31CA"/>
    <w:rsid w:val="005F049B"/>
    <w:rsid w:val="0060342C"/>
    <w:rsid w:val="0060571C"/>
    <w:rsid w:val="00605CDC"/>
    <w:rsid w:val="006067DF"/>
    <w:rsid w:val="006117F8"/>
    <w:rsid w:val="00611A44"/>
    <w:rsid w:val="00621DDD"/>
    <w:rsid w:val="00623F13"/>
    <w:rsid w:val="00630CF9"/>
    <w:rsid w:val="00634637"/>
    <w:rsid w:val="006377CE"/>
    <w:rsid w:val="006440BC"/>
    <w:rsid w:val="006448E5"/>
    <w:rsid w:val="00653740"/>
    <w:rsid w:val="00657F63"/>
    <w:rsid w:val="00660A35"/>
    <w:rsid w:val="00664719"/>
    <w:rsid w:val="00664A4B"/>
    <w:rsid w:val="00665C15"/>
    <w:rsid w:val="00667AEA"/>
    <w:rsid w:val="00667FC7"/>
    <w:rsid w:val="00672721"/>
    <w:rsid w:val="00675A01"/>
    <w:rsid w:val="006774AA"/>
    <w:rsid w:val="006804D8"/>
    <w:rsid w:val="00683402"/>
    <w:rsid w:val="00684704"/>
    <w:rsid w:val="006849FD"/>
    <w:rsid w:val="00686D92"/>
    <w:rsid w:val="006878F8"/>
    <w:rsid w:val="00690728"/>
    <w:rsid w:val="00691806"/>
    <w:rsid w:val="006A33B1"/>
    <w:rsid w:val="006A7D6D"/>
    <w:rsid w:val="006B39A2"/>
    <w:rsid w:val="006B50D4"/>
    <w:rsid w:val="006C65A4"/>
    <w:rsid w:val="006C7A62"/>
    <w:rsid w:val="006C7FE0"/>
    <w:rsid w:val="006E2264"/>
    <w:rsid w:val="006E4296"/>
    <w:rsid w:val="006F061F"/>
    <w:rsid w:val="006F10CB"/>
    <w:rsid w:val="006F1966"/>
    <w:rsid w:val="006F42BD"/>
    <w:rsid w:val="006F57C3"/>
    <w:rsid w:val="00701151"/>
    <w:rsid w:val="00701E17"/>
    <w:rsid w:val="0070662F"/>
    <w:rsid w:val="0070666C"/>
    <w:rsid w:val="0071174C"/>
    <w:rsid w:val="007142D3"/>
    <w:rsid w:val="00714888"/>
    <w:rsid w:val="007349C0"/>
    <w:rsid w:val="00734D13"/>
    <w:rsid w:val="00735A67"/>
    <w:rsid w:val="007405B4"/>
    <w:rsid w:val="00742BC0"/>
    <w:rsid w:val="00743485"/>
    <w:rsid w:val="00744CBC"/>
    <w:rsid w:val="00746C23"/>
    <w:rsid w:val="00747B5A"/>
    <w:rsid w:val="00750B50"/>
    <w:rsid w:val="007575F9"/>
    <w:rsid w:val="007577D2"/>
    <w:rsid w:val="0076157A"/>
    <w:rsid w:val="0076335C"/>
    <w:rsid w:val="00765E71"/>
    <w:rsid w:val="0076700B"/>
    <w:rsid w:val="00770884"/>
    <w:rsid w:val="007731C7"/>
    <w:rsid w:val="007771F9"/>
    <w:rsid w:val="00780EB6"/>
    <w:rsid w:val="00786058"/>
    <w:rsid w:val="00792699"/>
    <w:rsid w:val="007A6399"/>
    <w:rsid w:val="007B5BE9"/>
    <w:rsid w:val="007C0FD1"/>
    <w:rsid w:val="007C33B9"/>
    <w:rsid w:val="007C3945"/>
    <w:rsid w:val="007C6A7C"/>
    <w:rsid w:val="007D1189"/>
    <w:rsid w:val="007D32FD"/>
    <w:rsid w:val="007D5780"/>
    <w:rsid w:val="007E0E95"/>
    <w:rsid w:val="007F00AC"/>
    <w:rsid w:val="007F2849"/>
    <w:rsid w:val="008115F3"/>
    <w:rsid w:val="0081215C"/>
    <w:rsid w:val="008150B2"/>
    <w:rsid w:val="008231EB"/>
    <w:rsid w:val="00830E6D"/>
    <w:rsid w:val="00835BAB"/>
    <w:rsid w:val="00837161"/>
    <w:rsid w:val="00840287"/>
    <w:rsid w:val="008458FA"/>
    <w:rsid w:val="00851877"/>
    <w:rsid w:val="008522D4"/>
    <w:rsid w:val="00857A5B"/>
    <w:rsid w:val="0086161E"/>
    <w:rsid w:val="00871BFB"/>
    <w:rsid w:val="008758D1"/>
    <w:rsid w:val="0088452F"/>
    <w:rsid w:val="008845FF"/>
    <w:rsid w:val="00886C0A"/>
    <w:rsid w:val="008872B7"/>
    <w:rsid w:val="008946AA"/>
    <w:rsid w:val="008A3532"/>
    <w:rsid w:val="008B2BC8"/>
    <w:rsid w:val="008B36F3"/>
    <w:rsid w:val="008C1551"/>
    <w:rsid w:val="008C3478"/>
    <w:rsid w:val="008C39FC"/>
    <w:rsid w:val="008C4DBA"/>
    <w:rsid w:val="008D113E"/>
    <w:rsid w:val="008D3A3C"/>
    <w:rsid w:val="008D527F"/>
    <w:rsid w:val="008E1FAA"/>
    <w:rsid w:val="008E4E20"/>
    <w:rsid w:val="008F2175"/>
    <w:rsid w:val="008F52C9"/>
    <w:rsid w:val="00907E0C"/>
    <w:rsid w:val="009150CA"/>
    <w:rsid w:val="0092075F"/>
    <w:rsid w:val="009222FA"/>
    <w:rsid w:val="00922CE7"/>
    <w:rsid w:val="0092453D"/>
    <w:rsid w:val="00930746"/>
    <w:rsid w:val="00944047"/>
    <w:rsid w:val="00951551"/>
    <w:rsid w:val="009535CE"/>
    <w:rsid w:val="00954609"/>
    <w:rsid w:val="00955B30"/>
    <w:rsid w:val="0096323B"/>
    <w:rsid w:val="00975152"/>
    <w:rsid w:val="00983C42"/>
    <w:rsid w:val="00984BFD"/>
    <w:rsid w:val="00990CD7"/>
    <w:rsid w:val="00995F71"/>
    <w:rsid w:val="009A7116"/>
    <w:rsid w:val="009B1CF0"/>
    <w:rsid w:val="009B6B07"/>
    <w:rsid w:val="009B79D2"/>
    <w:rsid w:val="009C3C31"/>
    <w:rsid w:val="009D4D79"/>
    <w:rsid w:val="009D5709"/>
    <w:rsid w:val="009D6491"/>
    <w:rsid w:val="009D73B5"/>
    <w:rsid w:val="009E3033"/>
    <w:rsid w:val="009E5A55"/>
    <w:rsid w:val="009E6F00"/>
    <w:rsid w:val="009F0FAE"/>
    <w:rsid w:val="009F44C0"/>
    <w:rsid w:val="009F5A6F"/>
    <w:rsid w:val="00A01BBD"/>
    <w:rsid w:val="00A07977"/>
    <w:rsid w:val="00A108D5"/>
    <w:rsid w:val="00A111F3"/>
    <w:rsid w:val="00A1754B"/>
    <w:rsid w:val="00A23F9E"/>
    <w:rsid w:val="00A25181"/>
    <w:rsid w:val="00A276B0"/>
    <w:rsid w:val="00A311B4"/>
    <w:rsid w:val="00A45BB5"/>
    <w:rsid w:val="00A460C0"/>
    <w:rsid w:val="00A473B8"/>
    <w:rsid w:val="00A47602"/>
    <w:rsid w:val="00A61874"/>
    <w:rsid w:val="00A72781"/>
    <w:rsid w:val="00A757A1"/>
    <w:rsid w:val="00A77F5F"/>
    <w:rsid w:val="00A80E6F"/>
    <w:rsid w:val="00A82BC3"/>
    <w:rsid w:val="00A83A80"/>
    <w:rsid w:val="00A840B3"/>
    <w:rsid w:val="00A903B8"/>
    <w:rsid w:val="00A920D4"/>
    <w:rsid w:val="00A92CB6"/>
    <w:rsid w:val="00A95DBC"/>
    <w:rsid w:val="00A96C95"/>
    <w:rsid w:val="00AA5E4E"/>
    <w:rsid w:val="00AA6378"/>
    <w:rsid w:val="00AA7EC8"/>
    <w:rsid w:val="00AB6572"/>
    <w:rsid w:val="00AB7EFF"/>
    <w:rsid w:val="00AC0F34"/>
    <w:rsid w:val="00AC22F6"/>
    <w:rsid w:val="00AC350D"/>
    <w:rsid w:val="00AD6DE5"/>
    <w:rsid w:val="00AE15FE"/>
    <w:rsid w:val="00AE7D3D"/>
    <w:rsid w:val="00AF098F"/>
    <w:rsid w:val="00AF71DF"/>
    <w:rsid w:val="00B007C5"/>
    <w:rsid w:val="00B0230D"/>
    <w:rsid w:val="00B0738E"/>
    <w:rsid w:val="00B13C45"/>
    <w:rsid w:val="00B24837"/>
    <w:rsid w:val="00B2600B"/>
    <w:rsid w:val="00B31228"/>
    <w:rsid w:val="00B37891"/>
    <w:rsid w:val="00B418D4"/>
    <w:rsid w:val="00B41952"/>
    <w:rsid w:val="00B421BA"/>
    <w:rsid w:val="00B4740F"/>
    <w:rsid w:val="00B475A9"/>
    <w:rsid w:val="00B47B4B"/>
    <w:rsid w:val="00B5585B"/>
    <w:rsid w:val="00B60B6D"/>
    <w:rsid w:val="00B63B43"/>
    <w:rsid w:val="00B670CD"/>
    <w:rsid w:val="00B707E2"/>
    <w:rsid w:val="00B72EDA"/>
    <w:rsid w:val="00B735ED"/>
    <w:rsid w:val="00B825D2"/>
    <w:rsid w:val="00B857F3"/>
    <w:rsid w:val="00B85D8E"/>
    <w:rsid w:val="00B917E0"/>
    <w:rsid w:val="00BA15FE"/>
    <w:rsid w:val="00BA2142"/>
    <w:rsid w:val="00BA5DC5"/>
    <w:rsid w:val="00BB304D"/>
    <w:rsid w:val="00BB356D"/>
    <w:rsid w:val="00BB3E5E"/>
    <w:rsid w:val="00BB7696"/>
    <w:rsid w:val="00BB7CC9"/>
    <w:rsid w:val="00BC74DB"/>
    <w:rsid w:val="00BD1A2D"/>
    <w:rsid w:val="00BD269C"/>
    <w:rsid w:val="00BD601A"/>
    <w:rsid w:val="00BE13DE"/>
    <w:rsid w:val="00BE2EE1"/>
    <w:rsid w:val="00BE585D"/>
    <w:rsid w:val="00BF130E"/>
    <w:rsid w:val="00BF2386"/>
    <w:rsid w:val="00C00CCA"/>
    <w:rsid w:val="00C11B73"/>
    <w:rsid w:val="00C15417"/>
    <w:rsid w:val="00C15B37"/>
    <w:rsid w:val="00C20C88"/>
    <w:rsid w:val="00C213ED"/>
    <w:rsid w:val="00C21C6E"/>
    <w:rsid w:val="00C37AF4"/>
    <w:rsid w:val="00C46570"/>
    <w:rsid w:val="00C51E78"/>
    <w:rsid w:val="00C520C9"/>
    <w:rsid w:val="00C63E9A"/>
    <w:rsid w:val="00C64086"/>
    <w:rsid w:val="00C70619"/>
    <w:rsid w:val="00C70CF6"/>
    <w:rsid w:val="00C72459"/>
    <w:rsid w:val="00C7672F"/>
    <w:rsid w:val="00C76A2E"/>
    <w:rsid w:val="00C76ED2"/>
    <w:rsid w:val="00C805A9"/>
    <w:rsid w:val="00C82F13"/>
    <w:rsid w:val="00C85D0E"/>
    <w:rsid w:val="00C86752"/>
    <w:rsid w:val="00C92F29"/>
    <w:rsid w:val="00C93F0C"/>
    <w:rsid w:val="00C96125"/>
    <w:rsid w:val="00C96B5C"/>
    <w:rsid w:val="00C97BA8"/>
    <w:rsid w:val="00CA115D"/>
    <w:rsid w:val="00CA19DB"/>
    <w:rsid w:val="00CA518A"/>
    <w:rsid w:val="00CA553C"/>
    <w:rsid w:val="00CB201D"/>
    <w:rsid w:val="00CB2A4B"/>
    <w:rsid w:val="00CC2425"/>
    <w:rsid w:val="00CC415E"/>
    <w:rsid w:val="00CD08A5"/>
    <w:rsid w:val="00CD1A8A"/>
    <w:rsid w:val="00CD35A7"/>
    <w:rsid w:val="00CD39F6"/>
    <w:rsid w:val="00CD5D67"/>
    <w:rsid w:val="00CE2F4C"/>
    <w:rsid w:val="00CE71AA"/>
    <w:rsid w:val="00CF10D3"/>
    <w:rsid w:val="00CF43BE"/>
    <w:rsid w:val="00D04D02"/>
    <w:rsid w:val="00D1569F"/>
    <w:rsid w:val="00D23E3A"/>
    <w:rsid w:val="00D27ECA"/>
    <w:rsid w:val="00D320FA"/>
    <w:rsid w:val="00D3486D"/>
    <w:rsid w:val="00D35B09"/>
    <w:rsid w:val="00D40FE9"/>
    <w:rsid w:val="00D4290E"/>
    <w:rsid w:val="00D4293D"/>
    <w:rsid w:val="00D4325B"/>
    <w:rsid w:val="00D46041"/>
    <w:rsid w:val="00D53005"/>
    <w:rsid w:val="00D564CC"/>
    <w:rsid w:val="00D7158B"/>
    <w:rsid w:val="00D71843"/>
    <w:rsid w:val="00D72EB3"/>
    <w:rsid w:val="00D77D1E"/>
    <w:rsid w:val="00D801DE"/>
    <w:rsid w:val="00D83326"/>
    <w:rsid w:val="00D838F9"/>
    <w:rsid w:val="00D91B10"/>
    <w:rsid w:val="00D91F9C"/>
    <w:rsid w:val="00D9639A"/>
    <w:rsid w:val="00DA39E5"/>
    <w:rsid w:val="00DA7C2B"/>
    <w:rsid w:val="00DC3855"/>
    <w:rsid w:val="00DC3DB2"/>
    <w:rsid w:val="00DC571B"/>
    <w:rsid w:val="00DC6A37"/>
    <w:rsid w:val="00DD061B"/>
    <w:rsid w:val="00DE3AAE"/>
    <w:rsid w:val="00DE7A07"/>
    <w:rsid w:val="00DF01E3"/>
    <w:rsid w:val="00DF392E"/>
    <w:rsid w:val="00E02922"/>
    <w:rsid w:val="00E036E1"/>
    <w:rsid w:val="00E0434E"/>
    <w:rsid w:val="00E05116"/>
    <w:rsid w:val="00E05779"/>
    <w:rsid w:val="00E14EE2"/>
    <w:rsid w:val="00E218EB"/>
    <w:rsid w:val="00E22A51"/>
    <w:rsid w:val="00E25A98"/>
    <w:rsid w:val="00E31854"/>
    <w:rsid w:val="00E33F1F"/>
    <w:rsid w:val="00E41288"/>
    <w:rsid w:val="00E42F3E"/>
    <w:rsid w:val="00E57B7E"/>
    <w:rsid w:val="00E61AEE"/>
    <w:rsid w:val="00E65D7D"/>
    <w:rsid w:val="00E66A9C"/>
    <w:rsid w:val="00E702DF"/>
    <w:rsid w:val="00E77704"/>
    <w:rsid w:val="00E819DA"/>
    <w:rsid w:val="00E81C9D"/>
    <w:rsid w:val="00E82480"/>
    <w:rsid w:val="00E90FF2"/>
    <w:rsid w:val="00E91EAC"/>
    <w:rsid w:val="00EA52EF"/>
    <w:rsid w:val="00EA56F3"/>
    <w:rsid w:val="00EB617C"/>
    <w:rsid w:val="00EC1BD5"/>
    <w:rsid w:val="00EC25D0"/>
    <w:rsid w:val="00EC3AC9"/>
    <w:rsid w:val="00EC4F1A"/>
    <w:rsid w:val="00EC7A8A"/>
    <w:rsid w:val="00ED0894"/>
    <w:rsid w:val="00ED0AC2"/>
    <w:rsid w:val="00EE0F83"/>
    <w:rsid w:val="00EE1F07"/>
    <w:rsid w:val="00EE202E"/>
    <w:rsid w:val="00EE3451"/>
    <w:rsid w:val="00EE5AFA"/>
    <w:rsid w:val="00EE7977"/>
    <w:rsid w:val="00EF3F3F"/>
    <w:rsid w:val="00F005FA"/>
    <w:rsid w:val="00F01E84"/>
    <w:rsid w:val="00F0748E"/>
    <w:rsid w:val="00F17118"/>
    <w:rsid w:val="00F21BE6"/>
    <w:rsid w:val="00F25968"/>
    <w:rsid w:val="00F309A6"/>
    <w:rsid w:val="00F37CCC"/>
    <w:rsid w:val="00F42E63"/>
    <w:rsid w:val="00F45B7F"/>
    <w:rsid w:val="00F46705"/>
    <w:rsid w:val="00F51972"/>
    <w:rsid w:val="00F633CD"/>
    <w:rsid w:val="00F71447"/>
    <w:rsid w:val="00F73F7C"/>
    <w:rsid w:val="00F81151"/>
    <w:rsid w:val="00F81BC6"/>
    <w:rsid w:val="00F81D1B"/>
    <w:rsid w:val="00F90803"/>
    <w:rsid w:val="00F918E8"/>
    <w:rsid w:val="00F9214F"/>
    <w:rsid w:val="00F94149"/>
    <w:rsid w:val="00F94294"/>
    <w:rsid w:val="00FA0FE2"/>
    <w:rsid w:val="00FA15BF"/>
    <w:rsid w:val="00FA1B0D"/>
    <w:rsid w:val="00FA5AEB"/>
    <w:rsid w:val="00FB6D4F"/>
    <w:rsid w:val="00FB70D8"/>
    <w:rsid w:val="00FB7FAF"/>
    <w:rsid w:val="00FC147C"/>
    <w:rsid w:val="00FC62FF"/>
    <w:rsid w:val="00FC6A72"/>
    <w:rsid w:val="00FD0C07"/>
    <w:rsid w:val="00FD11BD"/>
    <w:rsid w:val="00FD681C"/>
    <w:rsid w:val="00FE1972"/>
    <w:rsid w:val="00FE45B3"/>
    <w:rsid w:val="00FF3782"/>
    <w:rsid w:val="00FF614E"/>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37"/>
    <w:pPr>
      <w:spacing w:after="240"/>
      <w:jc w:val="both"/>
    </w:pPr>
    <w:rPr>
      <w:rFonts w:ascii="Georgia" w:hAnsi="Georgia"/>
    </w:rPr>
  </w:style>
  <w:style w:type="paragraph" w:styleId="Heading1">
    <w:name w:val="heading 1"/>
    <w:basedOn w:val="Normal"/>
    <w:next w:val="Normal"/>
    <w:link w:val="Heading1Char"/>
    <w:autoRedefine/>
    <w:uiPriority w:val="9"/>
    <w:qFormat/>
    <w:rsid w:val="00555BE4"/>
    <w:pPr>
      <w:keepNext/>
      <w:keepLines/>
      <w:pBdr>
        <w:bottom w:val="single" w:sz="12" w:space="1" w:color="42557F" w:themeColor="accent5" w:themeShade="80"/>
      </w:pBdr>
      <w:spacing w:before="220" w:after="220"/>
      <w:ind w:left="360" w:hanging="360"/>
      <w:outlineLvl w:val="0"/>
    </w:pPr>
    <w:rPr>
      <w:rFonts w:ascii="Tw Cen MT" w:eastAsiaTheme="majorEastAsia" w:hAnsi="Tw Cen MT" w:cstheme="majorBidi"/>
      <w:b/>
      <w:bCs/>
      <w:caps/>
      <w:color w:val="42557F" w:themeColor="accent5" w:themeShade="80"/>
      <w:sz w:val="28"/>
    </w:rPr>
  </w:style>
  <w:style w:type="paragraph" w:styleId="Heading2">
    <w:name w:val="heading 2"/>
    <w:basedOn w:val="Normal"/>
    <w:next w:val="Normal"/>
    <w:link w:val="Heading2Char"/>
    <w:uiPriority w:val="9"/>
    <w:unhideWhenUsed/>
    <w:qFormat/>
    <w:rsid w:val="00E77704"/>
    <w:pPr>
      <w:keepNext/>
      <w:keepLines/>
      <w:spacing w:before="200"/>
      <w:outlineLvl w:val="1"/>
    </w:pPr>
    <w:rPr>
      <w:rFonts w:ascii="Tw Cen MT" w:eastAsiaTheme="majorEastAsia" w:hAnsi="Tw Cen MT" w:cstheme="majorBidi"/>
      <w:b/>
      <w:bCs/>
      <w:color w:val="FE8637" w:themeColor="accent1"/>
      <w:sz w:val="28"/>
      <w:szCs w:val="26"/>
    </w:rPr>
  </w:style>
  <w:style w:type="paragraph" w:styleId="Heading3">
    <w:name w:val="heading 3"/>
    <w:basedOn w:val="Normal"/>
    <w:next w:val="Normal"/>
    <w:link w:val="Heading3Char"/>
    <w:uiPriority w:val="9"/>
    <w:unhideWhenUsed/>
    <w:qFormat/>
    <w:rsid w:val="00251170"/>
    <w:pPr>
      <w:keepNext/>
      <w:keepLines/>
      <w:spacing w:before="200" w:after="0"/>
      <w:outlineLvl w:val="2"/>
    </w:pPr>
    <w:rPr>
      <w:rFonts w:asciiTheme="majorHAnsi" w:eastAsiaTheme="majorEastAsia" w:hAnsiTheme="majorHAnsi" w:cstheme="majorBidi"/>
      <w:b/>
      <w:bCs/>
      <w:color w:val="FE8637" w:themeColor="accent1"/>
      <w:sz w:val="24"/>
    </w:rPr>
  </w:style>
  <w:style w:type="paragraph" w:styleId="Heading4">
    <w:name w:val="heading 4"/>
    <w:basedOn w:val="Normal"/>
    <w:next w:val="Normal"/>
    <w:link w:val="Heading4Char"/>
    <w:autoRedefine/>
    <w:unhideWhenUsed/>
    <w:qFormat/>
    <w:rsid w:val="008C3478"/>
    <w:pPr>
      <w:keepNext/>
      <w:keepLines/>
      <w:spacing w:before="120" w:after="120"/>
      <w:outlineLvl w:val="3"/>
    </w:pPr>
    <w:rPr>
      <w:rFonts w:eastAsiaTheme="majorEastAsia" w:cs="Angsana New"/>
      <w:b/>
      <w:bCs/>
      <w:iCs/>
    </w:rPr>
  </w:style>
  <w:style w:type="paragraph" w:styleId="Heading5">
    <w:name w:val="heading 5"/>
    <w:basedOn w:val="Normal"/>
    <w:next w:val="Normal"/>
    <w:link w:val="Heading5Char"/>
    <w:autoRedefine/>
    <w:unhideWhenUsed/>
    <w:qFormat/>
    <w:rsid w:val="002B3758"/>
    <w:pPr>
      <w:keepNext/>
      <w:keepLines/>
      <w:spacing w:before="120" w:after="120"/>
      <w:outlineLvl w:val="4"/>
    </w:pPr>
    <w:rPr>
      <w:rFonts w:eastAsiaTheme="majorEastAsia" w:cstheme="minorHAnsi"/>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qFormat/>
    <w:rsid w:val="00D801DE"/>
    <w:pPr>
      <w:spacing w:after="120"/>
    </w:pPr>
    <w:rPr>
      <w:sz w:val="20"/>
    </w:rPr>
  </w:style>
  <w:style w:type="character" w:customStyle="1" w:styleId="FootnoteTextChar">
    <w:name w:val="Footnote Text Char"/>
    <w:basedOn w:val="DefaultParagraphFont"/>
    <w:link w:val="FootnoteText"/>
    <w:uiPriority w:val="99"/>
    <w:rsid w:val="00D801DE"/>
    <w:rPr>
      <w:rFonts w:ascii="Georgia" w:hAnsi="Georgia"/>
      <w:sz w:val="20"/>
    </w:rPr>
  </w:style>
  <w:style w:type="character" w:customStyle="1" w:styleId="Heading1Char">
    <w:name w:val="Heading 1 Char"/>
    <w:basedOn w:val="DefaultParagraphFont"/>
    <w:link w:val="Heading1"/>
    <w:uiPriority w:val="9"/>
    <w:rsid w:val="00555BE4"/>
    <w:rPr>
      <w:rFonts w:ascii="Tw Cen MT" w:eastAsiaTheme="majorEastAsia" w:hAnsi="Tw Cen MT" w:cstheme="majorBidi"/>
      <w:b/>
      <w:bCs/>
      <w:caps/>
      <w:color w:val="42557F" w:themeColor="accent5" w:themeShade="80"/>
      <w:sz w:val="28"/>
    </w:rPr>
  </w:style>
  <w:style w:type="character" w:customStyle="1" w:styleId="Heading5Char">
    <w:name w:val="Heading 5 Char"/>
    <w:basedOn w:val="DefaultParagraphFont"/>
    <w:link w:val="Heading5"/>
    <w:rsid w:val="002B3758"/>
    <w:rPr>
      <w:rFonts w:ascii="Georgia" w:eastAsiaTheme="majorEastAsia" w:hAnsi="Georgia" w:cstheme="minorHAnsi"/>
      <w:b/>
      <w:bCs/>
      <w:szCs w:val="20"/>
    </w:rPr>
  </w:style>
  <w:style w:type="character" w:customStyle="1" w:styleId="Heading4Char">
    <w:name w:val="Heading 4 Char"/>
    <w:basedOn w:val="DefaultParagraphFont"/>
    <w:link w:val="Heading4"/>
    <w:rsid w:val="008C3478"/>
    <w:rPr>
      <w:rFonts w:ascii="Georgia" w:eastAsiaTheme="majorEastAsia" w:hAnsi="Georgia" w:cs="Angsana New"/>
      <w:b/>
      <w:bCs/>
      <w:iCs/>
    </w:rPr>
  </w:style>
  <w:style w:type="character" w:customStyle="1" w:styleId="Heading2Char">
    <w:name w:val="Heading 2 Char"/>
    <w:basedOn w:val="DefaultParagraphFont"/>
    <w:link w:val="Heading2"/>
    <w:uiPriority w:val="9"/>
    <w:rsid w:val="00E77704"/>
    <w:rPr>
      <w:rFonts w:ascii="Tw Cen MT" w:eastAsiaTheme="majorEastAsia" w:hAnsi="Tw Cen MT" w:cstheme="majorBidi"/>
      <w:b/>
      <w:bCs/>
      <w:color w:val="FE8637" w:themeColor="accent1"/>
      <w:sz w:val="28"/>
      <w:szCs w:val="26"/>
    </w:rPr>
  </w:style>
  <w:style w:type="paragraph" w:styleId="Title">
    <w:name w:val="Title"/>
    <w:basedOn w:val="Normal"/>
    <w:next w:val="Normal"/>
    <w:link w:val="TitleChar"/>
    <w:uiPriority w:val="10"/>
    <w:qFormat/>
    <w:rsid w:val="002407B6"/>
    <w:pPr>
      <w:pBdr>
        <w:bottom w:val="single" w:sz="8" w:space="4" w:color="FE8637" w:themeColor="accent1"/>
      </w:pBdr>
      <w:spacing w:after="300"/>
      <w:contextualSpacing/>
    </w:pPr>
    <w:rPr>
      <w:rFonts w:asciiTheme="majorHAnsi" w:eastAsiaTheme="majorEastAsia" w:hAnsiTheme="majorHAnsi" w:cstheme="majorBidi"/>
      <w:color w:val="414751" w:themeColor="text2" w:themeShade="BF"/>
      <w:spacing w:val="5"/>
      <w:kern w:val="28"/>
      <w:sz w:val="52"/>
      <w:szCs w:val="52"/>
    </w:rPr>
  </w:style>
  <w:style w:type="character" w:customStyle="1" w:styleId="TitleChar">
    <w:name w:val="Title Char"/>
    <w:basedOn w:val="DefaultParagraphFont"/>
    <w:link w:val="Title"/>
    <w:uiPriority w:val="10"/>
    <w:rsid w:val="002407B6"/>
    <w:rPr>
      <w:rFonts w:asciiTheme="majorHAnsi" w:eastAsiaTheme="majorEastAsia" w:hAnsiTheme="majorHAnsi" w:cstheme="majorBidi"/>
      <w:color w:val="414751" w:themeColor="text2" w:themeShade="BF"/>
      <w:spacing w:val="5"/>
      <w:kern w:val="28"/>
      <w:sz w:val="52"/>
      <w:szCs w:val="52"/>
    </w:rPr>
  </w:style>
  <w:style w:type="paragraph" w:styleId="NoSpacing">
    <w:name w:val="No Spacing"/>
    <w:link w:val="NoSpacingChar"/>
    <w:uiPriority w:val="1"/>
    <w:qFormat/>
    <w:rsid w:val="0001013D"/>
    <w:pPr>
      <w:spacing w:after="0" w:line="240" w:lineRule="auto"/>
    </w:pPr>
    <w:rPr>
      <w:rFonts w:eastAsiaTheme="minorEastAsia"/>
    </w:rPr>
  </w:style>
  <w:style w:type="character" w:customStyle="1" w:styleId="NoSpacingChar">
    <w:name w:val="No Spacing Char"/>
    <w:basedOn w:val="DefaultParagraphFont"/>
    <w:link w:val="NoSpacing"/>
    <w:uiPriority w:val="1"/>
    <w:rsid w:val="0001013D"/>
    <w:rPr>
      <w:rFonts w:eastAsiaTheme="minorEastAsia"/>
    </w:rPr>
  </w:style>
  <w:style w:type="paragraph" w:styleId="BalloonText">
    <w:name w:val="Balloon Text"/>
    <w:basedOn w:val="Normal"/>
    <w:link w:val="BalloonTextChar"/>
    <w:uiPriority w:val="99"/>
    <w:semiHidden/>
    <w:unhideWhenUsed/>
    <w:rsid w:val="0001013D"/>
    <w:rPr>
      <w:rFonts w:ascii="Tahoma" w:hAnsi="Tahoma" w:cs="Tahoma"/>
      <w:sz w:val="16"/>
      <w:szCs w:val="16"/>
    </w:rPr>
  </w:style>
  <w:style w:type="character" w:customStyle="1" w:styleId="BalloonTextChar">
    <w:name w:val="Balloon Text Char"/>
    <w:basedOn w:val="DefaultParagraphFont"/>
    <w:link w:val="BalloonText"/>
    <w:uiPriority w:val="99"/>
    <w:semiHidden/>
    <w:rsid w:val="0001013D"/>
    <w:rPr>
      <w:rFonts w:ascii="Tahoma" w:hAnsi="Tahoma" w:cs="Tahoma"/>
      <w:sz w:val="16"/>
      <w:szCs w:val="16"/>
    </w:rPr>
  </w:style>
  <w:style w:type="paragraph" w:styleId="Header">
    <w:name w:val="header"/>
    <w:basedOn w:val="Normal"/>
    <w:link w:val="HeaderChar"/>
    <w:uiPriority w:val="99"/>
    <w:semiHidden/>
    <w:unhideWhenUsed/>
    <w:rsid w:val="00D801DE"/>
    <w:pPr>
      <w:tabs>
        <w:tab w:val="center" w:pos="4680"/>
        <w:tab w:val="right" w:pos="9360"/>
      </w:tabs>
    </w:pPr>
  </w:style>
  <w:style w:type="character" w:customStyle="1" w:styleId="HeaderChar">
    <w:name w:val="Header Char"/>
    <w:basedOn w:val="DefaultParagraphFont"/>
    <w:link w:val="Header"/>
    <w:uiPriority w:val="99"/>
    <w:semiHidden/>
    <w:rsid w:val="00D801DE"/>
    <w:rPr>
      <w:rFonts w:ascii="Georgia" w:hAnsi="Georgia"/>
    </w:rPr>
  </w:style>
  <w:style w:type="paragraph" w:styleId="Footer">
    <w:name w:val="footer"/>
    <w:basedOn w:val="Normal"/>
    <w:link w:val="FooterChar"/>
    <w:uiPriority w:val="99"/>
    <w:unhideWhenUsed/>
    <w:rsid w:val="00D801DE"/>
    <w:pPr>
      <w:tabs>
        <w:tab w:val="center" w:pos="4680"/>
        <w:tab w:val="right" w:pos="9360"/>
      </w:tabs>
    </w:pPr>
  </w:style>
  <w:style w:type="character" w:customStyle="1" w:styleId="FooterChar">
    <w:name w:val="Footer Char"/>
    <w:basedOn w:val="DefaultParagraphFont"/>
    <w:link w:val="Footer"/>
    <w:uiPriority w:val="99"/>
    <w:rsid w:val="00D801DE"/>
    <w:rPr>
      <w:rFonts w:ascii="Georgia" w:hAnsi="Georgia"/>
    </w:rPr>
  </w:style>
  <w:style w:type="table" w:styleId="TableGrid">
    <w:name w:val="Table Grid"/>
    <w:basedOn w:val="TableNormal"/>
    <w:uiPriority w:val="59"/>
    <w:rsid w:val="00D80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51170"/>
    <w:rPr>
      <w:rFonts w:asciiTheme="majorHAnsi" w:eastAsiaTheme="majorEastAsia" w:hAnsiTheme="majorHAnsi" w:cstheme="majorBidi"/>
      <w:b/>
      <w:bCs/>
      <w:color w:val="FE8637" w:themeColor="accent1"/>
      <w:sz w:val="24"/>
    </w:rPr>
  </w:style>
  <w:style w:type="character" w:styleId="FootnoteReference">
    <w:name w:val="footnote reference"/>
    <w:basedOn w:val="DefaultParagraphFont"/>
    <w:uiPriority w:val="99"/>
    <w:semiHidden/>
    <w:unhideWhenUsed/>
    <w:rsid w:val="00B0738E"/>
    <w:rPr>
      <w:vertAlign w:val="superscript"/>
    </w:rPr>
  </w:style>
  <w:style w:type="paragraph" w:styleId="TOC1">
    <w:name w:val="toc 1"/>
    <w:basedOn w:val="Normal"/>
    <w:next w:val="Normal"/>
    <w:autoRedefine/>
    <w:uiPriority w:val="39"/>
    <w:unhideWhenUsed/>
    <w:rsid w:val="00FB70D8"/>
    <w:pPr>
      <w:spacing w:after="100"/>
    </w:pPr>
  </w:style>
  <w:style w:type="paragraph" w:styleId="TOC2">
    <w:name w:val="toc 2"/>
    <w:basedOn w:val="Normal"/>
    <w:next w:val="Normal"/>
    <w:autoRedefine/>
    <w:uiPriority w:val="39"/>
    <w:unhideWhenUsed/>
    <w:rsid w:val="00FB70D8"/>
    <w:pPr>
      <w:spacing w:after="100"/>
      <w:ind w:left="220"/>
    </w:pPr>
  </w:style>
  <w:style w:type="paragraph" w:styleId="TOC3">
    <w:name w:val="toc 3"/>
    <w:basedOn w:val="Normal"/>
    <w:next w:val="Normal"/>
    <w:autoRedefine/>
    <w:uiPriority w:val="39"/>
    <w:unhideWhenUsed/>
    <w:rsid w:val="00FB70D8"/>
    <w:pPr>
      <w:spacing w:after="100"/>
      <w:ind w:left="440"/>
    </w:pPr>
  </w:style>
  <w:style w:type="paragraph" w:styleId="Quote">
    <w:name w:val="Quote"/>
    <w:basedOn w:val="Normal"/>
    <w:next w:val="Normal"/>
    <w:link w:val="QuoteChar"/>
    <w:uiPriority w:val="29"/>
    <w:qFormat/>
    <w:rsid w:val="00540EA8"/>
    <w:pPr>
      <w:ind w:left="432" w:right="288"/>
    </w:pPr>
    <w:rPr>
      <w:i/>
      <w:iCs/>
      <w:color w:val="000000" w:themeColor="text1"/>
    </w:rPr>
  </w:style>
  <w:style w:type="character" w:customStyle="1" w:styleId="QuoteChar">
    <w:name w:val="Quote Char"/>
    <w:basedOn w:val="DefaultParagraphFont"/>
    <w:link w:val="Quote"/>
    <w:uiPriority w:val="29"/>
    <w:rsid w:val="00540EA8"/>
    <w:rPr>
      <w:rFonts w:ascii="Georgia" w:hAnsi="Georgia"/>
      <w:i/>
      <w:iCs/>
      <w:color w:val="000000" w:themeColor="text1"/>
    </w:rPr>
  </w:style>
  <w:style w:type="paragraph" w:styleId="ListParagraph">
    <w:name w:val="List Paragraph"/>
    <w:basedOn w:val="Normal"/>
    <w:uiPriority w:val="99"/>
    <w:qFormat/>
    <w:rsid w:val="003F6197"/>
    <w:pPr>
      <w:ind w:left="720"/>
      <w:contextualSpacing/>
    </w:pPr>
  </w:style>
  <w:style w:type="paragraph" w:customStyle="1" w:styleId="bulletedtext">
    <w:name w:val="bulleted text"/>
    <w:basedOn w:val="Normal"/>
    <w:link w:val="bulletedtextChar"/>
    <w:qFormat/>
    <w:rsid w:val="00BA2142"/>
    <w:pPr>
      <w:numPr>
        <w:numId w:val="6"/>
      </w:numPr>
      <w:spacing w:after="120"/>
      <w:ind w:left="720"/>
    </w:pPr>
  </w:style>
  <w:style w:type="character" w:customStyle="1" w:styleId="bulletedtextChar">
    <w:name w:val="bulleted text Char"/>
    <w:basedOn w:val="DefaultParagraphFont"/>
    <w:link w:val="bulletedtext"/>
    <w:rsid w:val="00BA2142"/>
    <w:rPr>
      <w:rFonts w:ascii="Georgia" w:hAnsi="Georgia"/>
    </w:rPr>
  </w:style>
  <w:style w:type="paragraph" w:styleId="TableofFigures">
    <w:name w:val="table of figures"/>
    <w:basedOn w:val="Normal"/>
    <w:next w:val="Normal"/>
    <w:uiPriority w:val="99"/>
    <w:unhideWhenUsed/>
    <w:rsid w:val="001A48CA"/>
    <w:pPr>
      <w:spacing w:after="0"/>
    </w:pPr>
  </w:style>
  <w:style w:type="character" w:styleId="Hyperlink">
    <w:name w:val="Hyperlink"/>
    <w:basedOn w:val="DefaultParagraphFont"/>
    <w:uiPriority w:val="99"/>
    <w:unhideWhenUsed/>
    <w:rsid w:val="001A4CDC"/>
    <w:rPr>
      <w:color w:val="D2611C" w:themeColor="hyperlink"/>
      <w:u w:val="single"/>
    </w:rPr>
  </w:style>
  <w:style w:type="character" w:styleId="FollowedHyperlink">
    <w:name w:val="FollowedHyperlink"/>
    <w:basedOn w:val="DefaultParagraphFont"/>
    <w:uiPriority w:val="99"/>
    <w:semiHidden/>
    <w:unhideWhenUsed/>
    <w:rsid w:val="000571C8"/>
    <w:rPr>
      <w:color w:val="3B435B" w:themeColor="followedHyperlink"/>
      <w:u w:val="single"/>
    </w:rPr>
  </w:style>
  <w:style w:type="paragraph" w:customStyle="1" w:styleId="Figurenote">
    <w:name w:val="Figure note"/>
    <w:link w:val="FigurenoteChar"/>
    <w:qFormat/>
    <w:rsid w:val="00BE585D"/>
    <w:pPr>
      <w:spacing w:after="0" w:line="240" w:lineRule="auto"/>
    </w:pPr>
    <w:rPr>
      <w:rFonts w:eastAsiaTheme="majorEastAsia" w:cstheme="minorHAnsi"/>
      <w:bCs/>
      <w:sz w:val="20"/>
      <w:szCs w:val="20"/>
    </w:rPr>
  </w:style>
  <w:style w:type="character" w:customStyle="1" w:styleId="FigurenoteChar">
    <w:name w:val="Figure note Char"/>
    <w:basedOn w:val="DefaultParagraphFont"/>
    <w:link w:val="Figurenote"/>
    <w:rsid w:val="00BE585D"/>
    <w:rPr>
      <w:rFonts w:eastAsiaTheme="majorEastAsia" w:cstheme="minorHAnsi"/>
      <w:bCs/>
      <w:sz w:val="20"/>
      <w:szCs w:val="20"/>
    </w:rPr>
  </w:style>
  <w:style w:type="character" w:styleId="CommentReference">
    <w:name w:val="annotation reference"/>
    <w:basedOn w:val="DefaultParagraphFont"/>
    <w:uiPriority w:val="99"/>
    <w:semiHidden/>
    <w:unhideWhenUsed/>
    <w:rsid w:val="004B1622"/>
    <w:rPr>
      <w:sz w:val="16"/>
      <w:szCs w:val="16"/>
    </w:rPr>
  </w:style>
  <w:style w:type="paragraph" w:styleId="CommentText">
    <w:name w:val="annotation text"/>
    <w:basedOn w:val="Normal"/>
    <w:link w:val="CommentTextChar"/>
    <w:uiPriority w:val="99"/>
    <w:semiHidden/>
    <w:unhideWhenUsed/>
    <w:rsid w:val="004B1622"/>
    <w:pPr>
      <w:spacing w:line="240" w:lineRule="auto"/>
    </w:pPr>
    <w:rPr>
      <w:sz w:val="20"/>
      <w:szCs w:val="20"/>
    </w:rPr>
  </w:style>
  <w:style w:type="character" w:customStyle="1" w:styleId="CommentTextChar">
    <w:name w:val="Comment Text Char"/>
    <w:basedOn w:val="DefaultParagraphFont"/>
    <w:link w:val="CommentText"/>
    <w:uiPriority w:val="99"/>
    <w:semiHidden/>
    <w:rsid w:val="004B1622"/>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4B1622"/>
    <w:rPr>
      <w:b/>
      <w:bCs/>
    </w:rPr>
  </w:style>
  <w:style w:type="character" w:customStyle="1" w:styleId="CommentSubjectChar">
    <w:name w:val="Comment Subject Char"/>
    <w:basedOn w:val="CommentTextChar"/>
    <w:link w:val="CommentSubject"/>
    <w:uiPriority w:val="99"/>
    <w:semiHidden/>
    <w:rsid w:val="004B1622"/>
    <w:rPr>
      <w:b/>
      <w:bCs/>
    </w:rPr>
  </w:style>
</w:styles>
</file>

<file path=word/webSettings.xml><?xml version="1.0" encoding="utf-8"?>
<w:webSettings xmlns:r="http://schemas.openxmlformats.org/officeDocument/2006/relationships" xmlns:w="http://schemas.openxmlformats.org/wordprocessingml/2006/main">
  <w:divs>
    <w:div w:id="457801028">
      <w:bodyDiv w:val="1"/>
      <w:marLeft w:val="0"/>
      <w:marRight w:val="0"/>
      <w:marTop w:val="0"/>
      <w:marBottom w:val="0"/>
      <w:divBdr>
        <w:top w:val="none" w:sz="0" w:space="0" w:color="auto"/>
        <w:left w:val="none" w:sz="0" w:space="0" w:color="auto"/>
        <w:bottom w:val="none" w:sz="0" w:space="0" w:color="auto"/>
        <w:right w:val="none" w:sz="0" w:space="0" w:color="auto"/>
      </w:divBdr>
    </w:div>
    <w:div w:id="679086792">
      <w:bodyDiv w:val="1"/>
      <w:marLeft w:val="0"/>
      <w:marRight w:val="0"/>
      <w:marTop w:val="0"/>
      <w:marBottom w:val="0"/>
      <w:divBdr>
        <w:top w:val="none" w:sz="0" w:space="0" w:color="auto"/>
        <w:left w:val="none" w:sz="0" w:space="0" w:color="auto"/>
        <w:bottom w:val="none" w:sz="0" w:space="0" w:color="auto"/>
        <w:right w:val="none" w:sz="0" w:space="0" w:color="auto"/>
      </w:divBdr>
    </w:div>
    <w:div w:id="922445539">
      <w:bodyDiv w:val="1"/>
      <w:marLeft w:val="0"/>
      <w:marRight w:val="0"/>
      <w:marTop w:val="0"/>
      <w:marBottom w:val="0"/>
      <w:divBdr>
        <w:top w:val="none" w:sz="0" w:space="0" w:color="auto"/>
        <w:left w:val="none" w:sz="0" w:space="0" w:color="auto"/>
        <w:bottom w:val="none" w:sz="0" w:space="0" w:color="auto"/>
        <w:right w:val="none" w:sz="0" w:space="0" w:color="auto"/>
      </w:divBdr>
    </w:div>
    <w:div w:id="1156646141">
      <w:bodyDiv w:val="1"/>
      <w:marLeft w:val="0"/>
      <w:marRight w:val="0"/>
      <w:marTop w:val="0"/>
      <w:marBottom w:val="0"/>
      <w:divBdr>
        <w:top w:val="none" w:sz="0" w:space="0" w:color="auto"/>
        <w:left w:val="none" w:sz="0" w:space="0" w:color="auto"/>
        <w:bottom w:val="none" w:sz="0" w:space="0" w:color="auto"/>
        <w:right w:val="none" w:sz="0" w:space="0" w:color="auto"/>
      </w:divBdr>
    </w:div>
    <w:div w:id="1185022190">
      <w:bodyDiv w:val="1"/>
      <w:marLeft w:val="0"/>
      <w:marRight w:val="0"/>
      <w:marTop w:val="0"/>
      <w:marBottom w:val="0"/>
      <w:divBdr>
        <w:top w:val="none" w:sz="0" w:space="0" w:color="auto"/>
        <w:left w:val="none" w:sz="0" w:space="0" w:color="auto"/>
        <w:bottom w:val="none" w:sz="0" w:space="0" w:color="auto"/>
        <w:right w:val="none" w:sz="0" w:space="0" w:color="auto"/>
      </w:divBdr>
    </w:div>
    <w:div w:id="1247688990">
      <w:bodyDiv w:val="1"/>
      <w:marLeft w:val="0"/>
      <w:marRight w:val="0"/>
      <w:marTop w:val="0"/>
      <w:marBottom w:val="0"/>
      <w:divBdr>
        <w:top w:val="none" w:sz="0" w:space="0" w:color="auto"/>
        <w:left w:val="none" w:sz="0" w:space="0" w:color="auto"/>
        <w:bottom w:val="none" w:sz="0" w:space="0" w:color="auto"/>
        <w:right w:val="none" w:sz="0" w:space="0" w:color="auto"/>
      </w:divBdr>
    </w:div>
    <w:div w:id="1250961464">
      <w:bodyDiv w:val="1"/>
      <w:marLeft w:val="0"/>
      <w:marRight w:val="0"/>
      <w:marTop w:val="0"/>
      <w:marBottom w:val="0"/>
      <w:divBdr>
        <w:top w:val="none" w:sz="0" w:space="0" w:color="auto"/>
        <w:left w:val="none" w:sz="0" w:space="0" w:color="auto"/>
        <w:bottom w:val="none" w:sz="0" w:space="0" w:color="auto"/>
        <w:right w:val="none" w:sz="0" w:space="0" w:color="auto"/>
      </w:divBdr>
    </w:div>
    <w:div w:id="1350370312">
      <w:bodyDiv w:val="1"/>
      <w:marLeft w:val="0"/>
      <w:marRight w:val="0"/>
      <w:marTop w:val="0"/>
      <w:marBottom w:val="0"/>
      <w:divBdr>
        <w:top w:val="none" w:sz="0" w:space="0" w:color="auto"/>
        <w:left w:val="none" w:sz="0" w:space="0" w:color="auto"/>
        <w:bottom w:val="none" w:sz="0" w:space="0" w:color="auto"/>
        <w:right w:val="none" w:sz="0" w:space="0" w:color="auto"/>
      </w:divBdr>
    </w:div>
    <w:div w:id="1634675242">
      <w:bodyDiv w:val="1"/>
      <w:marLeft w:val="0"/>
      <w:marRight w:val="0"/>
      <w:marTop w:val="0"/>
      <w:marBottom w:val="0"/>
      <w:divBdr>
        <w:top w:val="none" w:sz="0" w:space="0" w:color="auto"/>
        <w:left w:val="none" w:sz="0" w:space="0" w:color="auto"/>
        <w:bottom w:val="none" w:sz="0" w:space="0" w:color="auto"/>
        <w:right w:val="none" w:sz="0" w:space="0" w:color="auto"/>
      </w:divBdr>
    </w:div>
    <w:div w:id="1671063240">
      <w:bodyDiv w:val="1"/>
      <w:marLeft w:val="0"/>
      <w:marRight w:val="0"/>
      <w:marTop w:val="0"/>
      <w:marBottom w:val="0"/>
      <w:divBdr>
        <w:top w:val="none" w:sz="0" w:space="0" w:color="auto"/>
        <w:left w:val="none" w:sz="0" w:space="0" w:color="auto"/>
        <w:bottom w:val="none" w:sz="0" w:space="0" w:color="auto"/>
        <w:right w:val="none" w:sz="0" w:space="0" w:color="auto"/>
      </w:divBdr>
    </w:div>
    <w:div w:id="1724055870">
      <w:bodyDiv w:val="1"/>
      <w:marLeft w:val="0"/>
      <w:marRight w:val="0"/>
      <w:marTop w:val="0"/>
      <w:marBottom w:val="0"/>
      <w:divBdr>
        <w:top w:val="none" w:sz="0" w:space="0" w:color="auto"/>
        <w:left w:val="none" w:sz="0" w:space="0" w:color="auto"/>
        <w:bottom w:val="none" w:sz="0" w:space="0" w:color="auto"/>
        <w:right w:val="none" w:sz="0" w:space="0" w:color="auto"/>
      </w:divBdr>
    </w:div>
    <w:div w:id="1778137229">
      <w:bodyDiv w:val="1"/>
      <w:marLeft w:val="0"/>
      <w:marRight w:val="0"/>
      <w:marTop w:val="0"/>
      <w:marBottom w:val="0"/>
      <w:divBdr>
        <w:top w:val="none" w:sz="0" w:space="0" w:color="auto"/>
        <w:left w:val="none" w:sz="0" w:space="0" w:color="auto"/>
        <w:bottom w:val="none" w:sz="0" w:space="0" w:color="auto"/>
        <w:right w:val="none" w:sz="0" w:space="0" w:color="auto"/>
      </w:divBdr>
    </w:div>
    <w:div w:id="1783767032">
      <w:bodyDiv w:val="1"/>
      <w:marLeft w:val="0"/>
      <w:marRight w:val="0"/>
      <w:marTop w:val="0"/>
      <w:marBottom w:val="0"/>
      <w:divBdr>
        <w:top w:val="none" w:sz="0" w:space="0" w:color="auto"/>
        <w:left w:val="none" w:sz="0" w:space="0" w:color="auto"/>
        <w:bottom w:val="none" w:sz="0" w:space="0" w:color="auto"/>
        <w:right w:val="none" w:sz="0" w:space="0" w:color="auto"/>
      </w:divBdr>
    </w:div>
    <w:div w:id="1823882781">
      <w:bodyDiv w:val="1"/>
      <w:marLeft w:val="0"/>
      <w:marRight w:val="0"/>
      <w:marTop w:val="0"/>
      <w:marBottom w:val="0"/>
      <w:divBdr>
        <w:top w:val="none" w:sz="0" w:space="0" w:color="auto"/>
        <w:left w:val="none" w:sz="0" w:space="0" w:color="auto"/>
        <w:bottom w:val="none" w:sz="0" w:space="0" w:color="auto"/>
        <w:right w:val="none" w:sz="0" w:space="0" w:color="auto"/>
      </w:divBdr>
    </w:div>
    <w:div w:id="1832721373">
      <w:bodyDiv w:val="1"/>
      <w:marLeft w:val="0"/>
      <w:marRight w:val="0"/>
      <w:marTop w:val="0"/>
      <w:marBottom w:val="0"/>
      <w:divBdr>
        <w:top w:val="none" w:sz="0" w:space="0" w:color="auto"/>
        <w:left w:val="none" w:sz="0" w:space="0" w:color="auto"/>
        <w:bottom w:val="none" w:sz="0" w:space="0" w:color="auto"/>
        <w:right w:val="none" w:sz="0" w:space="0" w:color="auto"/>
      </w:divBdr>
    </w:div>
    <w:div w:id="1930429427">
      <w:bodyDiv w:val="1"/>
      <w:marLeft w:val="0"/>
      <w:marRight w:val="0"/>
      <w:marTop w:val="0"/>
      <w:marBottom w:val="0"/>
      <w:divBdr>
        <w:top w:val="none" w:sz="0" w:space="0" w:color="auto"/>
        <w:left w:val="none" w:sz="0" w:space="0" w:color="auto"/>
        <w:bottom w:val="none" w:sz="0" w:space="0" w:color="auto"/>
        <w:right w:val="none" w:sz="0" w:space="0" w:color="auto"/>
      </w:divBdr>
      <w:divsChild>
        <w:div w:id="1760062660">
          <w:marLeft w:val="432"/>
          <w:marRight w:val="0"/>
          <w:marTop w:val="116"/>
          <w:marBottom w:val="0"/>
          <w:divBdr>
            <w:top w:val="none" w:sz="0" w:space="0" w:color="auto"/>
            <w:left w:val="none" w:sz="0" w:space="0" w:color="auto"/>
            <w:bottom w:val="none" w:sz="0" w:space="0" w:color="auto"/>
            <w:right w:val="none" w:sz="0" w:space="0" w:color="auto"/>
          </w:divBdr>
        </w:div>
        <w:div w:id="1040982032">
          <w:marLeft w:val="432"/>
          <w:marRight w:val="0"/>
          <w:marTop w:val="116"/>
          <w:marBottom w:val="0"/>
          <w:divBdr>
            <w:top w:val="none" w:sz="0" w:space="0" w:color="auto"/>
            <w:left w:val="none" w:sz="0" w:space="0" w:color="auto"/>
            <w:bottom w:val="none" w:sz="0" w:space="0" w:color="auto"/>
            <w:right w:val="none" w:sz="0" w:space="0" w:color="auto"/>
          </w:divBdr>
        </w:div>
        <w:div w:id="373502245">
          <w:marLeft w:val="432"/>
          <w:marRight w:val="0"/>
          <w:marTop w:val="116"/>
          <w:marBottom w:val="0"/>
          <w:divBdr>
            <w:top w:val="none" w:sz="0" w:space="0" w:color="auto"/>
            <w:left w:val="none" w:sz="0" w:space="0" w:color="auto"/>
            <w:bottom w:val="none" w:sz="0" w:space="0" w:color="auto"/>
            <w:right w:val="none" w:sz="0" w:space="0" w:color="auto"/>
          </w:divBdr>
        </w:div>
        <w:div w:id="2079395350">
          <w:marLeft w:val="432"/>
          <w:marRight w:val="0"/>
          <w:marTop w:val="116"/>
          <w:marBottom w:val="0"/>
          <w:divBdr>
            <w:top w:val="none" w:sz="0" w:space="0" w:color="auto"/>
            <w:left w:val="none" w:sz="0" w:space="0" w:color="auto"/>
            <w:bottom w:val="none" w:sz="0" w:space="0" w:color="auto"/>
            <w:right w:val="none" w:sz="0" w:space="0" w:color="auto"/>
          </w:divBdr>
        </w:div>
        <w:div w:id="1569224285">
          <w:marLeft w:val="432"/>
          <w:marRight w:val="0"/>
          <w:marTop w:val="116"/>
          <w:marBottom w:val="0"/>
          <w:divBdr>
            <w:top w:val="none" w:sz="0" w:space="0" w:color="auto"/>
            <w:left w:val="none" w:sz="0" w:space="0" w:color="auto"/>
            <w:bottom w:val="none" w:sz="0" w:space="0" w:color="auto"/>
            <w:right w:val="none" w:sz="0" w:space="0" w:color="auto"/>
          </w:divBdr>
        </w:div>
      </w:divsChild>
    </w:div>
    <w:div w:id="20635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hyperlink" Target="http://transition.usaid.gov/locations/europe_eurasia/dem_gov/ngoindex/reports/2011/2010complete_document.pdf"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3.xml"/><Relationship Id="rId10" Type="http://schemas.openxmlformats.org/officeDocument/2006/relationships/image" Target="media/image2.jpeg"/><Relationship Id="rId19" Type="http://schemas.openxmlformats.org/officeDocument/2006/relationships/chart" Target="charts/chart5.xml"/><Relationship Id="rId31" Type="http://schemas.openxmlformats.org/officeDocument/2006/relationships/hyperlink" Target="http://www.brookings.edu/research/reports/2010/04/durable-solution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chart" Target="charts/chart8.xml"/><Relationship Id="rId27" Type="http://schemas.openxmlformats.org/officeDocument/2006/relationships/chart" Target="charts/chart12.xml"/><Relationship Id="rId30"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erry\Dropbox\2%20CARE%20Georgia\4%20Data%20analysis\4.3%20Agricultural%20machinery%20survey\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erry\Dropbox\2%20CARE%20Georgia\4%20Data%20analysis\4.1%20Monitoring\Commty%20infrastructure\Community%20Infrastructure%20Projects-%20final%20K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CIF1\Desktop\Care%20FGDs_endline%20evaluation%20(2012)_280212\Endline%20evaluation%20REPORT\working%20(tables%20and%20figur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CIF1\Desktop\Care%20FGDs_endline%20evaluation%20(2012)_280212\Endline%20evaluation%20REPORT\working%20(tables%20and%20figur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CIF1\Desktop\Care%20FGDs_endline%20evaluation%20(2012)_280212\Endline%20evaluation%20REPORT\working%20(tables%20and%20figure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CIF1\Desktop\Care%20FGDs_endline%20evaluation%20(2012)_280212\Endline%20evaluation%20REPORT\working%20(tables%20and%20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erry\Dropbox\2%20CARE%20Georgia\4%20Data%20analysis\4.3%20Agricultural%20machinery%20survey\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erry\Dropbox\2%20CARE%20Georgia\4%20Data%20analysis\4.2%20Women%20survey\women%20survey%20graphs%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erry\Dropbox\2%20CARE%20Georgia\4%20Data%20analysis\4.2%20Women%20survey\women%20survey%20graphs%20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erry\Dropbox\2%20CARE%20Georgia\4%20Data%20analysis\4.2%20Women%20survey\women%20survey%20attitudes%20repo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erry\Dropbox\2%20CARE%20Georgia\4%20Data%20analysis\4.2%20Women%20survey\women%20survey%20attitudes%20repo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erry\Dropbox\2%20CARE%20Georgia\4%20Data%20analysis\4.2%20Women%20survey\women%20survey%20attitudes%20repor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erry\Dropbox\2%20CARE%20Georgia\4%20Data%20analysis\4.1%20Monitoring\Grants%20for%20jobs\Grants%20for%20jobs%20scheme%20updated%20KR%20final%20correct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erry\Dropbox\2%20CARE%20Georgia\4%20Data%20analysis\4.1%20Monitoring\Commty%20infrastructure\Community%20Infrastructure%20Projects-%20final%20K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Pt>
            <c:idx val="1"/>
            <c:spPr>
              <a:solidFill>
                <a:srgbClr val="7598D9"/>
              </a:solidFill>
            </c:spPr>
          </c:dPt>
          <c:dPt>
            <c:idx val="3"/>
            <c:spPr>
              <a:solidFill>
                <a:srgbClr val="7598D9"/>
              </a:solidFill>
            </c:spPr>
          </c:dPt>
          <c:cat>
            <c:multiLvlStrRef>
              <c:f>Sheet3!$B$16:$C$19</c:f>
              <c:multiLvlStrCache>
                <c:ptCount val="4"/>
                <c:lvl>
                  <c:pt idx="0">
                    <c:v>IDP</c:v>
                  </c:pt>
                  <c:pt idx="1">
                    <c:v>Local</c:v>
                  </c:pt>
                  <c:pt idx="2">
                    <c:v>IDP</c:v>
                  </c:pt>
                  <c:pt idx="3">
                    <c:v>Local</c:v>
                  </c:pt>
                </c:lvl>
                <c:lvl>
                  <c:pt idx="0">
                    <c:v>Before</c:v>
                  </c:pt>
                  <c:pt idx="2">
                    <c:v>After</c:v>
                  </c:pt>
                </c:lvl>
              </c:multiLvlStrCache>
            </c:multiLvlStrRef>
          </c:cat>
          <c:val>
            <c:numRef>
              <c:f>Sheet3!$D$16:$D$19</c:f>
              <c:numCache>
                <c:formatCode>0.00</c:formatCode>
                <c:ptCount val="4"/>
                <c:pt idx="0">
                  <c:v>0.18600000000000044</c:v>
                </c:pt>
                <c:pt idx="1">
                  <c:v>1.02</c:v>
                </c:pt>
                <c:pt idx="2">
                  <c:v>0.77800000000000213</c:v>
                </c:pt>
                <c:pt idx="3">
                  <c:v>1.627</c:v>
                </c:pt>
              </c:numCache>
            </c:numRef>
          </c:val>
        </c:ser>
        <c:dLbls>
          <c:showVal val="1"/>
        </c:dLbls>
        <c:axId val="85524864"/>
        <c:axId val="85526784"/>
      </c:barChart>
      <c:catAx>
        <c:axId val="85524864"/>
        <c:scaling>
          <c:orientation val="minMax"/>
        </c:scaling>
        <c:axPos val="b"/>
        <c:tickLblPos val="nextTo"/>
        <c:crossAx val="85526784"/>
        <c:crosses val="autoZero"/>
        <c:auto val="1"/>
        <c:lblAlgn val="ctr"/>
        <c:lblOffset val="100"/>
      </c:catAx>
      <c:valAx>
        <c:axId val="85526784"/>
        <c:scaling>
          <c:orientation val="minMax"/>
        </c:scaling>
        <c:axPos val="l"/>
        <c:majorGridlines/>
        <c:numFmt formatCode="0.00" sourceLinked="1"/>
        <c:tickLblPos val="nextTo"/>
        <c:crossAx val="8552486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Social Projects</a:t>
            </a:r>
          </a:p>
        </c:rich>
      </c:tx>
      <c:overlay val="1"/>
    </c:title>
    <c:view3D>
      <c:rotX val="40"/>
      <c:rotY val="190"/>
      <c:perspective val="30"/>
    </c:view3D>
    <c:plotArea>
      <c:layout/>
      <c:pie3DChart>
        <c:varyColors val="1"/>
        <c:ser>
          <c:idx val="0"/>
          <c:order val="0"/>
          <c:explosion val="25"/>
          <c:dPt>
            <c:idx val="2"/>
            <c:spPr>
              <a:solidFill>
                <a:schemeClr val="bg2">
                  <a:lumMod val="50000"/>
                </a:schemeClr>
              </a:solidFill>
            </c:spPr>
          </c:dPt>
          <c:dLbls>
            <c:dLblPos val="outEnd"/>
            <c:showVal val="1"/>
            <c:showLeaderLines val="1"/>
          </c:dLbls>
          <c:cat>
            <c:strRef>
              <c:f>corrected!$M$62:$P$62</c:f>
              <c:strCache>
                <c:ptCount val="4"/>
                <c:pt idx="0">
                  <c:v>CARE</c:v>
                </c:pt>
                <c:pt idx="1">
                  <c:v>Community</c:v>
                </c:pt>
                <c:pt idx="2">
                  <c:v>School</c:v>
                </c:pt>
                <c:pt idx="3">
                  <c:v>Municipality</c:v>
                </c:pt>
              </c:strCache>
            </c:strRef>
          </c:cat>
          <c:val>
            <c:numRef>
              <c:f>corrected!$M$63:$P$63</c:f>
              <c:numCache>
                <c:formatCode>_(* #,##0_);_(* \(#,##0\);_(* "-"??_);_(@_)</c:formatCode>
                <c:ptCount val="4"/>
                <c:pt idx="0">
                  <c:v>228782.35165230805</c:v>
                </c:pt>
                <c:pt idx="1">
                  <c:v>23933.074668251116</c:v>
                </c:pt>
                <c:pt idx="2">
                  <c:v>52806.723541647574</c:v>
                </c:pt>
                <c:pt idx="3">
                  <c:v>22136.631016042717</c:v>
                </c:pt>
              </c:numCache>
            </c:numRef>
          </c:val>
        </c:ser>
        <c:dLbls>
          <c:showVal val="1"/>
        </c:dLbls>
      </c:pie3DChart>
    </c:plotArea>
    <c:legend>
      <c:legendPos val="r"/>
      <c:layout>
        <c:manualLayout>
          <c:xMode val="edge"/>
          <c:yMode val="edge"/>
          <c:x val="0.77136664432903335"/>
          <c:y val="4.9976197828213026E-2"/>
          <c:w val="0.20203761099011561"/>
          <c:h val="0.29547244094488473"/>
        </c:manualLayout>
      </c:layout>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tx>
            <c:strRef>
              <c:f>Sheet1!$B$14</c:f>
              <c:strCache>
                <c:ptCount val="1"/>
                <c:pt idx="0">
                  <c:v># IDP youth trained</c:v>
                </c:pt>
              </c:strCache>
            </c:strRef>
          </c:tx>
          <c:dLbls>
            <c:txPr>
              <a:bodyPr/>
              <a:lstStyle/>
              <a:p>
                <a:pPr>
                  <a:defRPr lang="en-GB"/>
                </a:pPr>
                <a:endParaRPr lang="en-US"/>
              </a:p>
            </c:txPr>
            <c:showVal val="1"/>
          </c:dLbls>
          <c:cat>
            <c:strRef>
              <c:f>Sheet1!$C$13:$E$13</c:f>
              <c:strCache>
                <c:ptCount val="3"/>
                <c:pt idx="0">
                  <c:v>Performace target</c:v>
                </c:pt>
                <c:pt idx="1">
                  <c:v>Cummulative actual</c:v>
                </c:pt>
                <c:pt idx="2">
                  <c:v>Progress status</c:v>
                </c:pt>
              </c:strCache>
            </c:strRef>
          </c:cat>
          <c:val>
            <c:numRef>
              <c:f>Sheet1!$C$14:$E$14</c:f>
              <c:numCache>
                <c:formatCode>General</c:formatCode>
                <c:ptCount val="3"/>
                <c:pt idx="0">
                  <c:v>500</c:v>
                </c:pt>
                <c:pt idx="1">
                  <c:v>955</c:v>
                </c:pt>
                <c:pt idx="2">
                  <c:v>455</c:v>
                </c:pt>
              </c:numCache>
            </c:numRef>
          </c:val>
        </c:ser>
        <c:ser>
          <c:idx val="1"/>
          <c:order val="1"/>
          <c:tx>
            <c:strRef>
              <c:f>Sheet1!$B$15</c:f>
              <c:strCache>
                <c:ptCount val="1"/>
                <c:pt idx="0">
                  <c:v># local youth trained</c:v>
                </c:pt>
              </c:strCache>
            </c:strRef>
          </c:tx>
          <c:dLbls>
            <c:txPr>
              <a:bodyPr/>
              <a:lstStyle/>
              <a:p>
                <a:pPr>
                  <a:defRPr lang="en-GB"/>
                </a:pPr>
                <a:endParaRPr lang="en-US"/>
              </a:p>
            </c:txPr>
            <c:showVal val="1"/>
          </c:dLbls>
          <c:cat>
            <c:strRef>
              <c:f>Sheet1!$C$13:$E$13</c:f>
              <c:strCache>
                <c:ptCount val="3"/>
                <c:pt idx="0">
                  <c:v>Performace target</c:v>
                </c:pt>
                <c:pt idx="1">
                  <c:v>Cummulative actual</c:v>
                </c:pt>
                <c:pt idx="2">
                  <c:v>Progress status</c:v>
                </c:pt>
              </c:strCache>
            </c:strRef>
          </c:cat>
          <c:val>
            <c:numRef>
              <c:f>Sheet1!$C$15:$E$15</c:f>
              <c:numCache>
                <c:formatCode>General</c:formatCode>
                <c:ptCount val="3"/>
                <c:pt idx="0">
                  <c:v>500</c:v>
                </c:pt>
                <c:pt idx="1">
                  <c:v>5266</c:v>
                </c:pt>
                <c:pt idx="2">
                  <c:v>4766</c:v>
                </c:pt>
              </c:numCache>
            </c:numRef>
          </c:val>
        </c:ser>
        <c:axId val="87073152"/>
        <c:axId val="87074688"/>
      </c:barChart>
      <c:catAx>
        <c:axId val="87073152"/>
        <c:scaling>
          <c:orientation val="minMax"/>
        </c:scaling>
        <c:axPos val="l"/>
        <c:tickLblPos val="nextTo"/>
        <c:txPr>
          <a:bodyPr/>
          <a:lstStyle/>
          <a:p>
            <a:pPr>
              <a:defRPr lang="en-GB"/>
            </a:pPr>
            <a:endParaRPr lang="en-US"/>
          </a:p>
        </c:txPr>
        <c:crossAx val="87074688"/>
        <c:crosses val="autoZero"/>
        <c:auto val="1"/>
        <c:lblAlgn val="ctr"/>
        <c:lblOffset val="100"/>
      </c:catAx>
      <c:valAx>
        <c:axId val="87074688"/>
        <c:scaling>
          <c:orientation val="minMax"/>
        </c:scaling>
        <c:axPos val="b"/>
        <c:majorGridlines/>
        <c:numFmt formatCode="General" sourceLinked="1"/>
        <c:tickLblPos val="nextTo"/>
        <c:txPr>
          <a:bodyPr/>
          <a:lstStyle/>
          <a:p>
            <a:pPr>
              <a:defRPr lang="en-GB"/>
            </a:pPr>
            <a:endParaRPr lang="en-US"/>
          </a:p>
        </c:txPr>
        <c:crossAx val="87073152"/>
        <c:crosses val="autoZero"/>
        <c:crossBetween val="between"/>
      </c:valAx>
    </c:plotArea>
    <c:legend>
      <c:legendPos val="t"/>
      <c:txPr>
        <a:bodyPr/>
        <a:lstStyle/>
        <a:p>
          <a:pPr>
            <a:defRPr lang="en-GB"/>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Sheet1!$C$9</c:f>
              <c:strCache>
                <c:ptCount val="1"/>
                <c:pt idx="0">
                  <c:v>Pre-test (% of correct answers)</c:v>
                </c:pt>
              </c:strCache>
            </c:strRef>
          </c:tx>
          <c:dLbls>
            <c:txPr>
              <a:bodyPr/>
              <a:lstStyle/>
              <a:p>
                <a:pPr>
                  <a:defRPr lang="en-GB"/>
                </a:pPr>
                <a:endParaRPr lang="en-US"/>
              </a:p>
            </c:txPr>
            <c:showVal val="1"/>
          </c:dLbls>
          <c:cat>
            <c:strRef>
              <c:f>Sheet1!$B$10:$B$12</c:f>
              <c:strCache>
                <c:ptCount val="3"/>
                <c:pt idx="0">
                  <c:v>What is tollerancy?</c:v>
                </c:pt>
                <c:pt idx="1">
                  <c:v>What is stereotype?</c:v>
                </c:pt>
                <c:pt idx="2">
                  <c:v>What is  discrimination?</c:v>
                </c:pt>
              </c:strCache>
            </c:strRef>
          </c:cat>
          <c:val>
            <c:numRef>
              <c:f>Sheet1!$C$10:$C$12</c:f>
              <c:numCache>
                <c:formatCode>0.0</c:formatCode>
                <c:ptCount val="3"/>
                <c:pt idx="0">
                  <c:v>34.396135265700487</c:v>
                </c:pt>
                <c:pt idx="1">
                  <c:v>38.454106280193194</c:v>
                </c:pt>
                <c:pt idx="2">
                  <c:v>37.294685990338166</c:v>
                </c:pt>
              </c:numCache>
            </c:numRef>
          </c:val>
        </c:ser>
        <c:ser>
          <c:idx val="1"/>
          <c:order val="1"/>
          <c:tx>
            <c:strRef>
              <c:f>Sheet1!$E$9</c:f>
              <c:strCache>
                <c:ptCount val="1"/>
                <c:pt idx="0">
                  <c:v>Post-test (% of correct answers)</c:v>
                </c:pt>
              </c:strCache>
            </c:strRef>
          </c:tx>
          <c:dLbls>
            <c:txPr>
              <a:bodyPr/>
              <a:lstStyle/>
              <a:p>
                <a:pPr>
                  <a:defRPr lang="en-GB"/>
                </a:pPr>
                <a:endParaRPr lang="en-US"/>
              </a:p>
            </c:txPr>
            <c:showVal val="1"/>
          </c:dLbls>
          <c:cat>
            <c:strRef>
              <c:f>Sheet1!$B$10:$B$12</c:f>
              <c:strCache>
                <c:ptCount val="3"/>
                <c:pt idx="0">
                  <c:v>What is tollerancy?</c:v>
                </c:pt>
                <c:pt idx="1">
                  <c:v>What is stereotype?</c:v>
                </c:pt>
                <c:pt idx="2">
                  <c:v>What is  discrimination?</c:v>
                </c:pt>
              </c:strCache>
            </c:strRef>
          </c:cat>
          <c:val>
            <c:numRef>
              <c:f>Sheet1!$E$10:$E$12</c:f>
              <c:numCache>
                <c:formatCode>0.0</c:formatCode>
                <c:ptCount val="3"/>
                <c:pt idx="0">
                  <c:v>99.323671497582978</c:v>
                </c:pt>
                <c:pt idx="1">
                  <c:v>98.16425120772945</c:v>
                </c:pt>
                <c:pt idx="2">
                  <c:v>98.840579710144908</c:v>
                </c:pt>
              </c:numCache>
            </c:numRef>
          </c:val>
        </c:ser>
        <c:axId val="87104896"/>
        <c:axId val="87114880"/>
      </c:barChart>
      <c:catAx>
        <c:axId val="87104896"/>
        <c:scaling>
          <c:orientation val="minMax"/>
        </c:scaling>
        <c:axPos val="b"/>
        <c:tickLblPos val="nextTo"/>
        <c:txPr>
          <a:bodyPr/>
          <a:lstStyle/>
          <a:p>
            <a:pPr>
              <a:defRPr lang="en-GB"/>
            </a:pPr>
            <a:endParaRPr lang="en-US"/>
          </a:p>
        </c:txPr>
        <c:crossAx val="87114880"/>
        <c:crosses val="autoZero"/>
        <c:auto val="1"/>
        <c:lblAlgn val="ctr"/>
        <c:lblOffset val="100"/>
      </c:catAx>
      <c:valAx>
        <c:axId val="87114880"/>
        <c:scaling>
          <c:orientation val="minMax"/>
        </c:scaling>
        <c:axPos val="l"/>
        <c:majorGridlines/>
        <c:numFmt formatCode="0.0" sourceLinked="1"/>
        <c:tickLblPos val="nextTo"/>
        <c:txPr>
          <a:bodyPr/>
          <a:lstStyle/>
          <a:p>
            <a:pPr>
              <a:defRPr lang="en-GB"/>
            </a:pPr>
            <a:endParaRPr lang="en-US"/>
          </a:p>
        </c:txPr>
        <c:crossAx val="87104896"/>
        <c:crosses val="autoZero"/>
        <c:crossBetween val="between"/>
      </c:valAx>
    </c:plotArea>
    <c:legend>
      <c:legendPos val="t"/>
      <c:txPr>
        <a:bodyPr/>
        <a:lstStyle/>
        <a:p>
          <a:pPr>
            <a:defRPr lang="en-GB"/>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Sheet1!$I$25</c:f>
              <c:strCache>
                <c:ptCount val="1"/>
                <c:pt idx="0">
                  <c:v>Pre-test (% of correct answers)</c:v>
                </c:pt>
              </c:strCache>
            </c:strRef>
          </c:tx>
          <c:dLbls>
            <c:txPr>
              <a:bodyPr/>
              <a:lstStyle/>
              <a:p>
                <a:pPr>
                  <a:defRPr lang="en-GB"/>
                </a:pPr>
                <a:endParaRPr lang="en-US"/>
              </a:p>
            </c:txPr>
            <c:showVal val="1"/>
          </c:dLbls>
          <c:cat>
            <c:strRef>
              <c:f>Sheet1!$H$26:$H$28</c:f>
              <c:strCache>
                <c:ptCount val="3"/>
                <c:pt idx="0">
                  <c:v>What does constructive conflict mean?</c:v>
                </c:pt>
                <c:pt idx="1">
                  <c:v>What does destructive conflict mean?</c:v>
                </c:pt>
                <c:pt idx="2">
                  <c:v>Please list stages of conflict</c:v>
                </c:pt>
              </c:strCache>
            </c:strRef>
          </c:cat>
          <c:val>
            <c:numRef>
              <c:f>Sheet1!$I$26:$I$28</c:f>
              <c:numCache>
                <c:formatCode>0.0</c:formatCode>
                <c:ptCount val="3"/>
                <c:pt idx="0">
                  <c:v>58.382877526753845</c:v>
                </c:pt>
                <c:pt idx="1">
                  <c:v>53.151010701545772</c:v>
                </c:pt>
                <c:pt idx="2">
                  <c:v>18.430439952437489</c:v>
                </c:pt>
              </c:numCache>
            </c:numRef>
          </c:val>
        </c:ser>
        <c:ser>
          <c:idx val="1"/>
          <c:order val="1"/>
          <c:tx>
            <c:strRef>
              <c:f>Sheet1!$J$25</c:f>
              <c:strCache>
                <c:ptCount val="1"/>
                <c:pt idx="0">
                  <c:v>Post-test (% of correct answers)</c:v>
                </c:pt>
              </c:strCache>
            </c:strRef>
          </c:tx>
          <c:dLbls>
            <c:txPr>
              <a:bodyPr/>
              <a:lstStyle/>
              <a:p>
                <a:pPr>
                  <a:defRPr lang="en-GB"/>
                </a:pPr>
                <a:endParaRPr lang="en-US"/>
              </a:p>
            </c:txPr>
            <c:showVal val="1"/>
          </c:dLbls>
          <c:cat>
            <c:strRef>
              <c:f>Sheet1!$H$26:$H$28</c:f>
              <c:strCache>
                <c:ptCount val="3"/>
                <c:pt idx="0">
                  <c:v>What does constructive conflict mean?</c:v>
                </c:pt>
                <c:pt idx="1">
                  <c:v>What does destructive conflict mean?</c:v>
                </c:pt>
                <c:pt idx="2">
                  <c:v>Please list stages of conflict</c:v>
                </c:pt>
              </c:strCache>
            </c:strRef>
          </c:cat>
          <c:val>
            <c:numRef>
              <c:f>Sheet1!$J$26:$J$28</c:f>
              <c:numCache>
                <c:formatCode>0.0</c:formatCode>
                <c:ptCount val="3"/>
                <c:pt idx="0">
                  <c:v>91.082045184304349</c:v>
                </c:pt>
                <c:pt idx="1">
                  <c:v>91.082045184304349</c:v>
                </c:pt>
                <c:pt idx="2">
                  <c:v>81.569560047562433</c:v>
                </c:pt>
              </c:numCache>
            </c:numRef>
          </c:val>
        </c:ser>
        <c:axId val="87152512"/>
        <c:axId val="87154048"/>
      </c:barChart>
      <c:catAx>
        <c:axId val="87152512"/>
        <c:scaling>
          <c:orientation val="minMax"/>
        </c:scaling>
        <c:axPos val="b"/>
        <c:tickLblPos val="nextTo"/>
        <c:txPr>
          <a:bodyPr/>
          <a:lstStyle/>
          <a:p>
            <a:pPr>
              <a:defRPr lang="en-GB"/>
            </a:pPr>
            <a:endParaRPr lang="en-US"/>
          </a:p>
        </c:txPr>
        <c:crossAx val="87154048"/>
        <c:crosses val="autoZero"/>
        <c:auto val="1"/>
        <c:lblAlgn val="ctr"/>
        <c:lblOffset val="100"/>
      </c:catAx>
      <c:valAx>
        <c:axId val="87154048"/>
        <c:scaling>
          <c:orientation val="minMax"/>
        </c:scaling>
        <c:axPos val="l"/>
        <c:majorGridlines/>
        <c:numFmt formatCode="0.0" sourceLinked="1"/>
        <c:tickLblPos val="nextTo"/>
        <c:txPr>
          <a:bodyPr/>
          <a:lstStyle/>
          <a:p>
            <a:pPr>
              <a:defRPr lang="en-GB"/>
            </a:pPr>
            <a:endParaRPr lang="en-US"/>
          </a:p>
        </c:txPr>
        <c:crossAx val="87152512"/>
        <c:crosses val="autoZero"/>
        <c:crossBetween val="between"/>
      </c:valAx>
    </c:plotArea>
    <c:legend>
      <c:legendPos val="t"/>
      <c:txPr>
        <a:bodyPr/>
        <a:lstStyle/>
        <a:p>
          <a:pPr>
            <a:defRPr lang="en-GB"/>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Sheet1!$F$37</c:f>
              <c:strCache>
                <c:ptCount val="1"/>
                <c:pt idx="0">
                  <c:v>Pre-test (% of correct answers)</c:v>
                </c:pt>
              </c:strCache>
            </c:strRef>
          </c:tx>
          <c:dLbls>
            <c:txPr>
              <a:bodyPr/>
              <a:lstStyle/>
              <a:p>
                <a:pPr>
                  <a:defRPr lang="en-GB"/>
                </a:pPr>
                <a:endParaRPr lang="en-US"/>
              </a:p>
            </c:txPr>
            <c:showVal val="1"/>
          </c:dLbls>
          <c:cat>
            <c:strRef>
              <c:f>Sheet1!$E$38:$E$40</c:f>
              <c:strCache>
                <c:ptCount val="3"/>
                <c:pt idx="0">
                  <c:v>What is conflict management?</c:v>
                </c:pt>
                <c:pt idx="1">
                  <c:v>Which one is conflict resolution method?</c:v>
                </c:pt>
                <c:pt idx="2">
                  <c:v>Who is the mediator?</c:v>
                </c:pt>
              </c:strCache>
            </c:strRef>
          </c:cat>
          <c:val>
            <c:numRef>
              <c:f>Sheet1!$F$38:$F$40</c:f>
              <c:numCache>
                <c:formatCode>0.0</c:formatCode>
                <c:ptCount val="3"/>
                <c:pt idx="0">
                  <c:v>56.295399515738502</c:v>
                </c:pt>
                <c:pt idx="1">
                  <c:v>40.799031476997577</c:v>
                </c:pt>
                <c:pt idx="2">
                  <c:v>47.578692493946726</c:v>
                </c:pt>
              </c:numCache>
            </c:numRef>
          </c:val>
        </c:ser>
        <c:ser>
          <c:idx val="1"/>
          <c:order val="1"/>
          <c:tx>
            <c:strRef>
              <c:f>Sheet1!$G$37</c:f>
              <c:strCache>
                <c:ptCount val="1"/>
                <c:pt idx="0">
                  <c:v>Post-test (% of correct answers)</c:v>
                </c:pt>
              </c:strCache>
            </c:strRef>
          </c:tx>
          <c:dLbls>
            <c:txPr>
              <a:bodyPr/>
              <a:lstStyle/>
              <a:p>
                <a:pPr>
                  <a:defRPr lang="en-GB"/>
                </a:pPr>
                <a:endParaRPr lang="en-US"/>
              </a:p>
            </c:txPr>
            <c:showVal val="1"/>
          </c:dLbls>
          <c:cat>
            <c:strRef>
              <c:f>Sheet1!$E$38:$E$40</c:f>
              <c:strCache>
                <c:ptCount val="3"/>
                <c:pt idx="0">
                  <c:v>What is conflict management?</c:v>
                </c:pt>
                <c:pt idx="1">
                  <c:v>Which one is conflict resolution method?</c:v>
                </c:pt>
                <c:pt idx="2">
                  <c:v>Who is the mediator?</c:v>
                </c:pt>
              </c:strCache>
            </c:strRef>
          </c:cat>
          <c:val>
            <c:numRef>
              <c:f>Sheet1!$G$38:$G$40</c:f>
              <c:numCache>
                <c:formatCode>0.0</c:formatCode>
                <c:ptCount val="3"/>
                <c:pt idx="0">
                  <c:v>88.377723970944317</c:v>
                </c:pt>
                <c:pt idx="1">
                  <c:v>85.593220338983073</c:v>
                </c:pt>
                <c:pt idx="2">
                  <c:v>85.351089588378727</c:v>
                </c:pt>
              </c:numCache>
            </c:numRef>
          </c:val>
        </c:ser>
        <c:axId val="88846720"/>
        <c:axId val="88848256"/>
      </c:barChart>
      <c:catAx>
        <c:axId val="88846720"/>
        <c:scaling>
          <c:orientation val="minMax"/>
        </c:scaling>
        <c:axPos val="b"/>
        <c:tickLblPos val="nextTo"/>
        <c:txPr>
          <a:bodyPr/>
          <a:lstStyle/>
          <a:p>
            <a:pPr>
              <a:defRPr lang="en-GB"/>
            </a:pPr>
            <a:endParaRPr lang="en-US"/>
          </a:p>
        </c:txPr>
        <c:crossAx val="88848256"/>
        <c:crosses val="autoZero"/>
        <c:auto val="1"/>
        <c:lblAlgn val="ctr"/>
        <c:lblOffset val="100"/>
      </c:catAx>
      <c:valAx>
        <c:axId val="88848256"/>
        <c:scaling>
          <c:orientation val="minMax"/>
        </c:scaling>
        <c:axPos val="l"/>
        <c:majorGridlines/>
        <c:numFmt formatCode="0.0" sourceLinked="1"/>
        <c:tickLblPos val="nextTo"/>
        <c:txPr>
          <a:bodyPr/>
          <a:lstStyle/>
          <a:p>
            <a:pPr>
              <a:defRPr lang="en-GB"/>
            </a:pPr>
            <a:endParaRPr lang="en-US"/>
          </a:p>
        </c:txPr>
        <c:crossAx val="88846720"/>
        <c:crosses val="autoZero"/>
        <c:crossBetween val="between"/>
      </c:valAx>
    </c:plotArea>
    <c:legend>
      <c:legendPos val="t"/>
      <c:txPr>
        <a:bodyPr/>
        <a:lstStyle/>
        <a:p>
          <a:pPr>
            <a:defRPr lang="en-GB"/>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Sheet1!$E$48</c:f>
              <c:strCache>
                <c:ptCount val="1"/>
                <c:pt idx="0">
                  <c:v>Pre-test (% of correct answers)</c:v>
                </c:pt>
              </c:strCache>
            </c:strRef>
          </c:tx>
          <c:dLbls>
            <c:txPr>
              <a:bodyPr/>
              <a:lstStyle/>
              <a:p>
                <a:pPr>
                  <a:defRPr lang="en-GB"/>
                </a:pPr>
                <a:endParaRPr lang="en-US"/>
              </a:p>
            </c:txPr>
            <c:showVal val="1"/>
          </c:dLbls>
          <c:cat>
            <c:strRef>
              <c:f>Sheet1!$D$49:$D$50</c:f>
              <c:strCache>
                <c:ptCount val="2"/>
                <c:pt idx="0">
                  <c:v>What does culture of freedom mean?</c:v>
                </c:pt>
                <c:pt idx="1">
                  <c:v>Who is IDP?</c:v>
                </c:pt>
              </c:strCache>
            </c:strRef>
          </c:cat>
          <c:val>
            <c:numRef>
              <c:f>Sheet1!$E$49:$E$50</c:f>
              <c:numCache>
                <c:formatCode>0.0</c:formatCode>
                <c:ptCount val="2"/>
                <c:pt idx="0">
                  <c:v>30</c:v>
                </c:pt>
                <c:pt idx="1">
                  <c:v>61.951219512195124</c:v>
                </c:pt>
              </c:numCache>
            </c:numRef>
          </c:val>
        </c:ser>
        <c:ser>
          <c:idx val="1"/>
          <c:order val="1"/>
          <c:tx>
            <c:strRef>
              <c:f>Sheet1!$F$48</c:f>
              <c:strCache>
                <c:ptCount val="1"/>
                <c:pt idx="0">
                  <c:v>Post-test (% of correct answers)</c:v>
                </c:pt>
              </c:strCache>
            </c:strRef>
          </c:tx>
          <c:dLbls>
            <c:txPr>
              <a:bodyPr/>
              <a:lstStyle/>
              <a:p>
                <a:pPr>
                  <a:defRPr lang="en-GB"/>
                </a:pPr>
                <a:endParaRPr lang="en-US"/>
              </a:p>
            </c:txPr>
            <c:showVal val="1"/>
          </c:dLbls>
          <c:cat>
            <c:strRef>
              <c:f>Sheet1!$D$49:$D$50</c:f>
              <c:strCache>
                <c:ptCount val="2"/>
                <c:pt idx="0">
                  <c:v>What does culture of freedom mean?</c:v>
                </c:pt>
                <c:pt idx="1">
                  <c:v>Who is IDP?</c:v>
                </c:pt>
              </c:strCache>
            </c:strRef>
          </c:cat>
          <c:val>
            <c:numRef>
              <c:f>Sheet1!$F$49:$F$50</c:f>
              <c:numCache>
                <c:formatCode>0.00</c:formatCode>
                <c:ptCount val="2"/>
                <c:pt idx="0">
                  <c:v>77.195121951219534</c:v>
                </c:pt>
                <c:pt idx="1">
                  <c:v>89.146341463414558</c:v>
                </c:pt>
              </c:numCache>
            </c:numRef>
          </c:val>
        </c:ser>
        <c:axId val="89594496"/>
        <c:axId val="89604480"/>
      </c:barChart>
      <c:catAx>
        <c:axId val="89594496"/>
        <c:scaling>
          <c:orientation val="minMax"/>
        </c:scaling>
        <c:axPos val="b"/>
        <c:tickLblPos val="nextTo"/>
        <c:txPr>
          <a:bodyPr/>
          <a:lstStyle/>
          <a:p>
            <a:pPr>
              <a:defRPr lang="en-GB"/>
            </a:pPr>
            <a:endParaRPr lang="en-US"/>
          </a:p>
        </c:txPr>
        <c:crossAx val="89604480"/>
        <c:crosses val="autoZero"/>
        <c:auto val="1"/>
        <c:lblAlgn val="ctr"/>
        <c:lblOffset val="100"/>
      </c:catAx>
      <c:valAx>
        <c:axId val="89604480"/>
        <c:scaling>
          <c:orientation val="minMax"/>
        </c:scaling>
        <c:axPos val="l"/>
        <c:majorGridlines/>
        <c:numFmt formatCode="0.0" sourceLinked="1"/>
        <c:tickLblPos val="nextTo"/>
        <c:txPr>
          <a:bodyPr/>
          <a:lstStyle/>
          <a:p>
            <a:pPr>
              <a:defRPr lang="en-GB"/>
            </a:pPr>
            <a:endParaRPr lang="en-US"/>
          </a:p>
        </c:txPr>
        <c:crossAx val="89594496"/>
        <c:crosses val="autoZero"/>
        <c:crossBetween val="between"/>
      </c:valAx>
    </c:plotArea>
    <c:legend>
      <c:legendPos val="t"/>
      <c:txPr>
        <a:bodyPr/>
        <a:lstStyle/>
        <a:p>
          <a:pPr>
            <a:defRPr lang="en-GB"/>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Pt>
            <c:idx val="1"/>
            <c:spPr>
              <a:solidFill>
                <a:srgbClr val="7598D9"/>
              </a:solidFill>
            </c:spPr>
          </c:dPt>
          <c:dPt>
            <c:idx val="3"/>
            <c:spPr>
              <a:solidFill>
                <a:srgbClr val="7598D9"/>
              </a:solidFill>
            </c:spPr>
          </c:dPt>
          <c:cat>
            <c:multiLvlStrRef>
              <c:f>Sheet3!$B$21:$C$24</c:f>
              <c:multiLvlStrCache>
                <c:ptCount val="4"/>
                <c:lvl>
                  <c:pt idx="0">
                    <c:v>IDP</c:v>
                  </c:pt>
                  <c:pt idx="1">
                    <c:v>Local</c:v>
                  </c:pt>
                  <c:pt idx="2">
                    <c:v>IDP</c:v>
                  </c:pt>
                  <c:pt idx="3">
                    <c:v>Local</c:v>
                  </c:pt>
                </c:lvl>
                <c:lvl>
                  <c:pt idx="0">
                    <c:v>Before</c:v>
                  </c:pt>
                  <c:pt idx="2">
                    <c:v>After</c:v>
                  </c:pt>
                </c:lvl>
              </c:multiLvlStrCache>
            </c:multiLvlStrRef>
          </c:cat>
          <c:val>
            <c:numRef>
              <c:f>Sheet3!$D$21:$D$24</c:f>
              <c:numCache>
                <c:formatCode>0</c:formatCode>
                <c:ptCount val="4"/>
                <c:pt idx="0">
                  <c:v>463.07692307692304</c:v>
                </c:pt>
                <c:pt idx="1">
                  <c:v>2386.5853658536585</c:v>
                </c:pt>
                <c:pt idx="2">
                  <c:v>825</c:v>
                </c:pt>
                <c:pt idx="3">
                  <c:v>2666</c:v>
                </c:pt>
              </c:numCache>
            </c:numRef>
          </c:val>
        </c:ser>
        <c:axId val="86772352"/>
        <c:axId val="86786432"/>
      </c:barChart>
      <c:catAx>
        <c:axId val="86772352"/>
        <c:scaling>
          <c:orientation val="minMax"/>
        </c:scaling>
        <c:axPos val="b"/>
        <c:tickLblPos val="nextTo"/>
        <c:crossAx val="86786432"/>
        <c:crosses val="autoZero"/>
        <c:auto val="1"/>
        <c:lblAlgn val="ctr"/>
        <c:lblOffset val="100"/>
      </c:catAx>
      <c:valAx>
        <c:axId val="86786432"/>
        <c:scaling>
          <c:orientation val="minMax"/>
        </c:scaling>
        <c:axPos val="l"/>
        <c:majorGridlines/>
        <c:numFmt formatCode="0" sourceLinked="1"/>
        <c:tickLblPos val="nextTo"/>
        <c:crossAx val="8677235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Sheet2!$B$15</c:f>
              <c:strCache>
                <c:ptCount val="1"/>
                <c:pt idx="0">
                  <c:v>Salary</c:v>
                </c:pt>
              </c:strCache>
            </c:strRef>
          </c:tx>
          <c:cat>
            <c:strRef>
              <c:f>Sheet2!$A$16:$A$17</c:f>
              <c:strCache>
                <c:ptCount val="2"/>
                <c:pt idx="0">
                  <c:v>Before</c:v>
                </c:pt>
                <c:pt idx="1">
                  <c:v>After</c:v>
                </c:pt>
              </c:strCache>
            </c:strRef>
          </c:cat>
          <c:val>
            <c:numRef>
              <c:f>Sheet2!$B$16:$B$17</c:f>
              <c:numCache>
                <c:formatCode>0.0</c:formatCode>
                <c:ptCount val="2"/>
                <c:pt idx="0">
                  <c:v>96.1498166579361</c:v>
                </c:pt>
                <c:pt idx="1">
                  <c:v>110.15124327095616</c:v>
                </c:pt>
              </c:numCache>
            </c:numRef>
          </c:val>
        </c:ser>
        <c:ser>
          <c:idx val="1"/>
          <c:order val="1"/>
          <c:tx>
            <c:strRef>
              <c:f>Sheet2!$C$15</c:f>
              <c:strCache>
                <c:ptCount val="1"/>
                <c:pt idx="0">
                  <c:v>Pension</c:v>
                </c:pt>
              </c:strCache>
            </c:strRef>
          </c:tx>
          <c:cat>
            <c:strRef>
              <c:f>Sheet2!$A$16:$A$17</c:f>
              <c:strCache>
                <c:ptCount val="2"/>
                <c:pt idx="0">
                  <c:v>Before</c:v>
                </c:pt>
                <c:pt idx="1">
                  <c:v>After</c:v>
                </c:pt>
              </c:strCache>
            </c:strRef>
          </c:cat>
          <c:val>
            <c:numRef>
              <c:f>Sheet2!$C$16:$C$17</c:f>
              <c:numCache>
                <c:formatCode>0.0</c:formatCode>
                <c:ptCount val="2"/>
                <c:pt idx="0">
                  <c:v>11.35411210057622</c:v>
                </c:pt>
                <c:pt idx="1">
                  <c:v>15.239682132786466</c:v>
                </c:pt>
              </c:numCache>
            </c:numRef>
          </c:val>
        </c:ser>
        <c:ser>
          <c:idx val="2"/>
          <c:order val="2"/>
          <c:tx>
            <c:strRef>
              <c:f>Sheet2!$D$15</c:f>
              <c:strCache>
                <c:ptCount val="1"/>
                <c:pt idx="0">
                  <c:v>IDP allwc</c:v>
                </c:pt>
              </c:strCache>
            </c:strRef>
          </c:tx>
          <c:cat>
            <c:strRef>
              <c:f>Sheet2!$A$16:$A$17</c:f>
              <c:strCache>
                <c:ptCount val="2"/>
                <c:pt idx="0">
                  <c:v>Before</c:v>
                </c:pt>
                <c:pt idx="1">
                  <c:v>After</c:v>
                </c:pt>
              </c:strCache>
            </c:strRef>
          </c:cat>
          <c:val>
            <c:numRef>
              <c:f>Sheet2!$D$16:$D$17</c:f>
              <c:numCache>
                <c:formatCode>0.0</c:formatCode>
                <c:ptCount val="2"/>
                <c:pt idx="0">
                  <c:v>53.922071263778527</c:v>
                </c:pt>
                <c:pt idx="1">
                  <c:v>49.935913868238913</c:v>
                </c:pt>
              </c:numCache>
            </c:numRef>
          </c:val>
        </c:ser>
        <c:ser>
          <c:idx val="3"/>
          <c:order val="3"/>
          <c:tx>
            <c:strRef>
              <c:f>Sheet2!$E$15</c:f>
              <c:strCache>
                <c:ptCount val="1"/>
                <c:pt idx="0">
                  <c:v>Relatives</c:v>
                </c:pt>
              </c:strCache>
            </c:strRef>
          </c:tx>
          <c:cat>
            <c:strRef>
              <c:f>Sheet2!$A$16:$A$17</c:f>
              <c:strCache>
                <c:ptCount val="2"/>
                <c:pt idx="0">
                  <c:v>Before</c:v>
                </c:pt>
                <c:pt idx="1">
                  <c:v>After</c:v>
                </c:pt>
              </c:strCache>
            </c:strRef>
          </c:cat>
          <c:val>
            <c:numRef>
              <c:f>Sheet2!$E$16:$E$17</c:f>
              <c:numCache>
                <c:formatCode>0.0</c:formatCode>
                <c:ptCount val="2"/>
                <c:pt idx="0">
                  <c:v>14.056224899598419</c:v>
                </c:pt>
                <c:pt idx="1">
                  <c:v>6.5367854396308704</c:v>
                </c:pt>
              </c:numCache>
            </c:numRef>
          </c:val>
        </c:ser>
        <c:ser>
          <c:idx val="4"/>
          <c:order val="4"/>
          <c:tx>
            <c:strRef>
              <c:f>Sheet2!$F$15</c:f>
              <c:strCache>
                <c:ptCount val="1"/>
                <c:pt idx="0">
                  <c:v>Other</c:v>
                </c:pt>
              </c:strCache>
            </c:strRef>
          </c:tx>
          <c:cat>
            <c:strRef>
              <c:f>Sheet2!$A$16:$A$17</c:f>
              <c:strCache>
                <c:ptCount val="2"/>
                <c:pt idx="0">
                  <c:v>Before</c:v>
                </c:pt>
                <c:pt idx="1">
                  <c:v>After</c:v>
                </c:pt>
              </c:strCache>
            </c:strRef>
          </c:cat>
          <c:val>
            <c:numRef>
              <c:f>Sheet2!$F$16:$F$17</c:f>
              <c:numCache>
                <c:formatCode>0.0</c:formatCode>
                <c:ptCount val="2"/>
                <c:pt idx="0">
                  <c:v>1.3386880856760381</c:v>
                </c:pt>
                <c:pt idx="1">
                  <c:v>7.6903358113304137</c:v>
                </c:pt>
              </c:numCache>
            </c:numRef>
          </c:val>
        </c:ser>
        <c:ser>
          <c:idx val="5"/>
          <c:order val="5"/>
          <c:tx>
            <c:strRef>
              <c:f>Sheet2!$G$15</c:f>
              <c:strCache>
                <c:ptCount val="1"/>
                <c:pt idx="0">
                  <c:v>Business</c:v>
                </c:pt>
              </c:strCache>
            </c:strRef>
          </c:tx>
          <c:spPr>
            <a:solidFill>
              <a:schemeClr val="accent4"/>
            </a:solidFill>
          </c:spPr>
          <c:cat>
            <c:strRef>
              <c:f>Sheet2!$A$16:$A$17</c:f>
              <c:strCache>
                <c:ptCount val="2"/>
                <c:pt idx="0">
                  <c:v>Before</c:v>
                </c:pt>
                <c:pt idx="1">
                  <c:v>After</c:v>
                </c:pt>
              </c:strCache>
            </c:strRef>
          </c:cat>
          <c:val>
            <c:numRef>
              <c:f>Sheet2!$G$16:$G$17</c:f>
              <c:numCache>
                <c:formatCode>0.0</c:formatCode>
                <c:ptCount val="2"/>
                <c:pt idx="0">
                  <c:v>0</c:v>
                </c:pt>
                <c:pt idx="1">
                  <c:v>118.30299923096641</c:v>
                </c:pt>
              </c:numCache>
            </c:numRef>
          </c:val>
        </c:ser>
        <c:overlap val="100"/>
        <c:axId val="85471232"/>
        <c:axId val="85472768"/>
      </c:barChart>
      <c:catAx>
        <c:axId val="85471232"/>
        <c:scaling>
          <c:orientation val="minMax"/>
        </c:scaling>
        <c:axPos val="b"/>
        <c:tickLblPos val="nextTo"/>
        <c:crossAx val="85472768"/>
        <c:crosses val="autoZero"/>
        <c:auto val="1"/>
        <c:lblAlgn val="ctr"/>
        <c:lblOffset val="100"/>
      </c:catAx>
      <c:valAx>
        <c:axId val="85472768"/>
        <c:scaling>
          <c:orientation val="minMax"/>
        </c:scaling>
        <c:axPos val="l"/>
        <c:majorGridlines/>
        <c:title>
          <c:tx>
            <c:rich>
              <a:bodyPr rot="-5400000" vert="horz"/>
              <a:lstStyle/>
              <a:p>
                <a:pPr>
                  <a:defRPr/>
                </a:pPr>
                <a:r>
                  <a:rPr lang="en-US"/>
                  <a:t>USD</a:t>
                </a:r>
              </a:p>
            </c:rich>
          </c:tx>
        </c:title>
        <c:numFmt formatCode="0.0" sourceLinked="1"/>
        <c:tickLblPos val="nextTo"/>
        <c:crossAx val="8547123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Sheet1!$C$18</c:f>
              <c:strCache>
                <c:ptCount val="1"/>
                <c:pt idx="0">
                  <c:v>Food</c:v>
                </c:pt>
              </c:strCache>
            </c:strRef>
          </c:tx>
          <c:cat>
            <c:strRef>
              <c:f>Sheet1!$B$19:$B$20</c:f>
              <c:strCache>
                <c:ptCount val="2"/>
                <c:pt idx="0">
                  <c:v>Before</c:v>
                </c:pt>
                <c:pt idx="1">
                  <c:v>After</c:v>
                </c:pt>
              </c:strCache>
            </c:strRef>
          </c:cat>
          <c:val>
            <c:numRef>
              <c:f>Sheet1!$C$19:$C$20</c:f>
              <c:numCache>
                <c:formatCode>0.0</c:formatCode>
                <c:ptCount val="2"/>
                <c:pt idx="0">
                  <c:v>105.08843886183013</c:v>
                </c:pt>
                <c:pt idx="1">
                  <c:v>187.53681392235612</c:v>
                </c:pt>
              </c:numCache>
            </c:numRef>
          </c:val>
        </c:ser>
        <c:ser>
          <c:idx val="1"/>
          <c:order val="1"/>
          <c:tx>
            <c:strRef>
              <c:f>Sheet1!$D$18</c:f>
              <c:strCache>
                <c:ptCount val="1"/>
                <c:pt idx="0">
                  <c:v>Clothes</c:v>
                </c:pt>
              </c:strCache>
            </c:strRef>
          </c:tx>
          <c:cat>
            <c:strRef>
              <c:f>Sheet1!$B$19:$B$20</c:f>
              <c:strCache>
                <c:ptCount val="2"/>
                <c:pt idx="0">
                  <c:v>Before</c:v>
                </c:pt>
                <c:pt idx="1">
                  <c:v>After</c:v>
                </c:pt>
              </c:strCache>
            </c:strRef>
          </c:cat>
          <c:val>
            <c:numRef>
              <c:f>Sheet1!$D$19:$D$20</c:f>
              <c:numCache>
                <c:formatCode>0.0</c:formatCode>
                <c:ptCount val="2"/>
                <c:pt idx="0">
                  <c:v>17.687772366059985</c:v>
                </c:pt>
                <c:pt idx="1">
                  <c:v>39.223560910308024</c:v>
                </c:pt>
              </c:numCache>
            </c:numRef>
          </c:val>
        </c:ser>
        <c:ser>
          <c:idx val="2"/>
          <c:order val="2"/>
          <c:tx>
            <c:strRef>
              <c:f>Sheet1!$E$18</c:f>
              <c:strCache>
                <c:ptCount val="1"/>
                <c:pt idx="0">
                  <c:v>Medicine</c:v>
                </c:pt>
              </c:strCache>
            </c:strRef>
          </c:tx>
          <c:cat>
            <c:strRef>
              <c:f>Sheet1!$B$19:$B$20</c:f>
              <c:strCache>
                <c:ptCount val="2"/>
                <c:pt idx="0">
                  <c:v>Before</c:v>
                </c:pt>
                <c:pt idx="1">
                  <c:v>After</c:v>
                </c:pt>
              </c:strCache>
            </c:strRef>
          </c:cat>
          <c:val>
            <c:numRef>
              <c:f>Sheet1!$E$19:$E$20</c:f>
              <c:numCache>
                <c:formatCode>0.0</c:formatCode>
                <c:ptCount val="2"/>
                <c:pt idx="0">
                  <c:v>25.890797231479052</c:v>
                </c:pt>
                <c:pt idx="1">
                  <c:v>37.443105756358769</c:v>
                </c:pt>
              </c:numCache>
            </c:numRef>
          </c:val>
        </c:ser>
        <c:ser>
          <c:idx val="3"/>
          <c:order val="3"/>
          <c:tx>
            <c:strRef>
              <c:f>Sheet1!$F$18</c:f>
              <c:strCache>
                <c:ptCount val="1"/>
                <c:pt idx="0">
                  <c:v>Transport</c:v>
                </c:pt>
              </c:strCache>
            </c:strRef>
          </c:tx>
          <c:cat>
            <c:strRef>
              <c:f>Sheet1!$B$19:$B$20</c:f>
              <c:strCache>
                <c:ptCount val="2"/>
                <c:pt idx="0">
                  <c:v>Before</c:v>
                </c:pt>
                <c:pt idx="1">
                  <c:v>After</c:v>
                </c:pt>
              </c:strCache>
            </c:strRef>
          </c:cat>
          <c:val>
            <c:numRef>
              <c:f>Sheet1!$F$19:$F$20</c:f>
              <c:numCache>
                <c:formatCode>0.0</c:formatCode>
                <c:ptCount val="2"/>
                <c:pt idx="0">
                  <c:v>12.509612919764189</c:v>
                </c:pt>
                <c:pt idx="1">
                  <c:v>24.765729585006603</c:v>
                </c:pt>
              </c:numCache>
            </c:numRef>
          </c:val>
        </c:ser>
        <c:ser>
          <c:idx val="4"/>
          <c:order val="4"/>
          <c:tx>
            <c:strRef>
              <c:f>Sheet1!$G$18</c:f>
              <c:strCache>
                <c:ptCount val="1"/>
                <c:pt idx="0">
                  <c:v>Heat</c:v>
                </c:pt>
              </c:strCache>
            </c:strRef>
          </c:tx>
          <c:cat>
            <c:strRef>
              <c:f>Sheet1!$B$19:$B$20</c:f>
              <c:strCache>
                <c:ptCount val="2"/>
                <c:pt idx="0">
                  <c:v>Before</c:v>
                </c:pt>
                <c:pt idx="1">
                  <c:v>After</c:v>
                </c:pt>
              </c:strCache>
            </c:strRef>
          </c:cat>
          <c:val>
            <c:numRef>
              <c:f>Sheet1!$G$19:$G$20</c:f>
              <c:numCache>
                <c:formatCode>0.0</c:formatCode>
                <c:ptCount val="2"/>
                <c:pt idx="0">
                  <c:v>32.555754934632148</c:v>
                </c:pt>
                <c:pt idx="1">
                  <c:v>55.555555555555564</c:v>
                </c:pt>
              </c:numCache>
            </c:numRef>
          </c:val>
        </c:ser>
        <c:ser>
          <c:idx val="5"/>
          <c:order val="5"/>
          <c:tx>
            <c:strRef>
              <c:f>Sheet1!$H$18</c:f>
              <c:strCache>
                <c:ptCount val="1"/>
                <c:pt idx="0">
                  <c:v>Fees</c:v>
                </c:pt>
              </c:strCache>
            </c:strRef>
          </c:tx>
          <c:cat>
            <c:strRef>
              <c:f>Sheet1!$B$19:$B$20</c:f>
              <c:strCache>
                <c:ptCount val="2"/>
                <c:pt idx="0">
                  <c:v>Before</c:v>
                </c:pt>
                <c:pt idx="1">
                  <c:v>After</c:v>
                </c:pt>
              </c:strCache>
            </c:strRef>
          </c:cat>
          <c:val>
            <c:numRef>
              <c:f>Sheet1!$H$19:$H$20</c:f>
              <c:numCache>
                <c:formatCode>0.0</c:formatCode>
                <c:ptCount val="2"/>
                <c:pt idx="0">
                  <c:v>0.83311971289413134</c:v>
                </c:pt>
                <c:pt idx="1">
                  <c:v>1.8741633199464527</c:v>
                </c:pt>
              </c:numCache>
            </c:numRef>
          </c:val>
        </c:ser>
        <c:ser>
          <c:idx val="6"/>
          <c:order val="6"/>
          <c:tx>
            <c:strRef>
              <c:f>Sheet1!$I$18</c:f>
              <c:strCache>
                <c:ptCount val="1"/>
                <c:pt idx="0">
                  <c:v>Education</c:v>
                </c:pt>
              </c:strCache>
            </c:strRef>
          </c:tx>
          <c:cat>
            <c:strRef>
              <c:f>Sheet1!$B$19:$B$20</c:f>
              <c:strCache>
                <c:ptCount val="2"/>
                <c:pt idx="0">
                  <c:v>Before</c:v>
                </c:pt>
                <c:pt idx="1">
                  <c:v>After</c:v>
                </c:pt>
              </c:strCache>
            </c:strRef>
          </c:cat>
          <c:val>
            <c:numRef>
              <c:f>Sheet1!$I$19:$I$20</c:f>
              <c:numCache>
                <c:formatCode>0.0</c:formatCode>
                <c:ptCount val="2"/>
                <c:pt idx="0">
                  <c:v>20.315303768264545</c:v>
                </c:pt>
                <c:pt idx="1">
                  <c:v>39.57161981258367</c:v>
                </c:pt>
              </c:numCache>
            </c:numRef>
          </c:val>
        </c:ser>
        <c:ser>
          <c:idx val="7"/>
          <c:order val="7"/>
          <c:tx>
            <c:strRef>
              <c:f>Sheet1!$J$18</c:f>
              <c:strCache>
                <c:ptCount val="1"/>
                <c:pt idx="0">
                  <c:v>Business</c:v>
                </c:pt>
              </c:strCache>
            </c:strRef>
          </c:tx>
          <c:cat>
            <c:strRef>
              <c:f>Sheet1!$B$19:$B$20</c:f>
              <c:strCache>
                <c:ptCount val="2"/>
                <c:pt idx="0">
                  <c:v>Before</c:v>
                </c:pt>
                <c:pt idx="1">
                  <c:v>After</c:v>
                </c:pt>
              </c:strCache>
            </c:strRef>
          </c:cat>
          <c:val>
            <c:numRef>
              <c:f>Sheet1!$J$19:$J$20</c:f>
              <c:numCache>
                <c:formatCode>0.0</c:formatCode>
                <c:ptCount val="2"/>
                <c:pt idx="0">
                  <c:v>0</c:v>
                </c:pt>
                <c:pt idx="1">
                  <c:v>0.53547523427041643</c:v>
                </c:pt>
              </c:numCache>
            </c:numRef>
          </c:val>
        </c:ser>
        <c:ser>
          <c:idx val="8"/>
          <c:order val="8"/>
          <c:tx>
            <c:strRef>
              <c:f>Sheet1!$K$18</c:f>
              <c:strCache>
                <c:ptCount val="1"/>
                <c:pt idx="0">
                  <c:v>Other</c:v>
                </c:pt>
              </c:strCache>
            </c:strRef>
          </c:tx>
          <c:cat>
            <c:strRef>
              <c:f>Sheet1!$B$19:$B$20</c:f>
              <c:strCache>
                <c:ptCount val="2"/>
                <c:pt idx="0">
                  <c:v>Before</c:v>
                </c:pt>
                <c:pt idx="1">
                  <c:v>After</c:v>
                </c:pt>
              </c:strCache>
            </c:strRef>
          </c:cat>
          <c:val>
            <c:numRef>
              <c:f>Sheet1!$K$19:$K$20</c:f>
              <c:numCache>
                <c:formatCode>0.0</c:formatCode>
                <c:ptCount val="2"/>
                <c:pt idx="0">
                  <c:v>0.19225839528326091</c:v>
                </c:pt>
                <c:pt idx="1">
                  <c:v>1.8072289156626498</c:v>
                </c:pt>
              </c:numCache>
            </c:numRef>
          </c:val>
        </c:ser>
        <c:overlap val="100"/>
        <c:axId val="85581184"/>
        <c:axId val="86611072"/>
      </c:barChart>
      <c:catAx>
        <c:axId val="85581184"/>
        <c:scaling>
          <c:orientation val="minMax"/>
        </c:scaling>
        <c:axPos val="b"/>
        <c:tickLblPos val="nextTo"/>
        <c:crossAx val="86611072"/>
        <c:crosses val="autoZero"/>
        <c:auto val="1"/>
        <c:lblAlgn val="ctr"/>
        <c:lblOffset val="100"/>
      </c:catAx>
      <c:valAx>
        <c:axId val="86611072"/>
        <c:scaling>
          <c:orientation val="minMax"/>
        </c:scaling>
        <c:axPos val="l"/>
        <c:majorGridlines/>
        <c:title>
          <c:tx>
            <c:rich>
              <a:bodyPr rot="-5400000" vert="horz"/>
              <a:lstStyle/>
              <a:p>
                <a:pPr>
                  <a:defRPr/>
                </a:pPr>
                <a:r>
                  <a:rPr lang="en-US"/>
                  <a:t>USD</a:t>
                </a:r>
              </a:p>
            </c:rich>
          </c:tx>
        </c:title>
        <c:numFmt formatCode="0.0" sourceLinked="1"/>
        <c:tickLblPos val="nextTo"/>
        <c:crossAx val="8558118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46736319891831701"/>
          <c:y val="9.6874143632278045E-2"/>
          <c:w val="0.48869740714228932"/>
          <c:h val="0.86058912009548694"/>
        </c:manualLayout>
      </c:layout>
      <c:barChart>
        <c:barDir val="bar"/>
        <c:grouping val="clustered"/>
        <c:ser>
          <c:idx val="0"/>
          <c:order val="0"/>
          <c:dLbls>
            <c:txPr>
              <a:bodyPr/>
              <a:lstStyle/>
              <a:p>
                <a:pPr>
                  <a:defRPr sz="1200"/>
                </a:pPr>
                <a:endParaRPr lang="en-US"/>
              </a:p>
            </c:txPr>
            <c:dLblPos val="ctr"/>
            <c:showVal val="1"/>
          </c:dLbls>
          <c:cat>
            <c:strRef>
              <c:f>Sheet4!$A$2:$A$7</c:f>
              <c:strCache>
                <c:ptCount val="6"/>
                <c:pt idx="0">
                  <c:v>Improved economic conditions    </c:v>
                </c:pt>
                <c:pt idx="1">
                  <c:v>Have independent source of income   </c:v>
                </c:pt>
                <c:pt idx="2">
                  <c:v>Increased self-esteem </c:v>
                </c:pt>
                <c:pt idx="3">
                  <c:v>Improved relations with family members and others  </c:v>
                </c:pt>
                <c:pt idx="4">
                  <c:v>My business had more conflicts than relief </c:v>
                </c:pt>
                <c:pt idx="5">
                  <c:v>Worsened relations with family members and others   </c:v>
                </c:pt>
              </c:strCache>
            </c:strRef>
          </c:cat>
          <c:val>
            <c:numRef>
              <c:f>Sheet4!$B$2:$B$7</c:f>
              <c:numCache>
                <c:formatCode>0.0</c:formatCode>
                <c:ptCount val="6"/>
                <c:pt idx="0">
                  <c:v>93.478260869565233</c:v>
                </c:pt>
                <c:pt idx="1">
                  <c:v>78.260869565218471</c:v>
                </c:pt>
                <c:pt idx="2">
                  <c:v>76.086956521739111</c:v>
                </c:pt>
                <c:pt idx="3">
                  <c:v>28.260869565217387</c:v>
                </c:pt>
                <c:pt idx="4">
                  <c:v>6.5217391304347823</c:v>
                </c:pt>
                <c:pt idx="5">
                  <c:v>2.1739130434782608</c:v>
                </c:pt>
              </c:numCache>
            </c:numRef>
          </c:val>
        </c:ser>
        <c:dLbls>
          <c:showVal val="1"/>
        </c:dLbls>
        <c:axId val="86636800"/>
        <c:axId val="86646784"/>
      </c:barChart>
      <c:catAx>
        <c:axId val="86636800"/>
        <c:scaling>
          <c:orientation val="maxMin"/>
        </c:scaling>
        <c:axPos val="l"/>
        <c:tickLblPos val="nextTo"/>
        <c:crossAx val="86646784"/>
        <c:crosses val="autoZero"/>
        <c:auto val="1"/>
        <c:lblAlgn val="ctr"/>
        <c:lblOffset val="100"/>
      </c:catAx>
      <c:valAx>
        <c:axId val="86646784"/>
        <c:scaling>
          <c:orientation val="minMax"/>
        </c:scaling>
        <c:axPos val="t"/>
        <c:majorGridlines/>
        <c:numFmt formatCode="0.0" sourceLinked="1"/>
        <c:tickLblPos val="nextTo"/>
        <c:txPr>
          <a:bodyPr/>
          <a:lstStyle/>
          <a:p>
            <a:pPr>
              <a:defRPr sz="900"/>
            </a:pPr>
            <a:endParaRPr lang="en-US"/>
          </a:p>
        </c:txPr>
        <c:crossAx val="8663680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dPt>
            <c:idx val="0"/>
            <c:spPr>
              <a:solidFill>
                <a:srgbClr val="575F6D"/>
              </a:solidFill>
            </c:spPr>
          </c:dPt>
          <c:dPt>
            <c:idx val="1"/>
            <c:spPr>
              <a:solidFill>
                <a:schemeClr val="accent2"/>
              </a:solidFill>
            </c:spPr>
          </c:dPt>
          <c:dPt>
            <c:idx val="2"/>
            <c:spPr>
              <a:solidFill>
                <a:schemeClr val="accent2"/>
              </a:solidFill>
            </c:spPr>
          </c:dPt>
          <c:dPt>
            <c:idx val="4"/>
            <c:spPr>
              <a:solidFill>
                <a:schemeClr val="accent4"/>
              </a:solidFill>
            </c:spPr>
          </c:dPt>
          <c:dPt>
            <c:idx val="6"/>
            <c:spPr>
              <a:solidFill>
                <a:schemeClr val="accent4"/>
              </a:solidFill>
            </c:spPr>
          </c:dPt>
          <c:dLbls>
            <c:dLbl>
              <c:idx val="0"/>
              <c:spPr>
                <a:solidFill>
                  <a:schemeClr val="accent2"/>
                </a:solidFill>
              </c:spPr>
              <c:txPr>
                <a:bodyPr/>
                <a:lstStyle/>
                <a:p>
                  <a:pPr>
                    <a:defRPr sz="1000"/>
                  </a:pPr>
                  <a:endParaRPr lang="en-US"/>
                </a:p>
              </c:txPr>
            </c:dLbl>
            <c:dLbl>
              <c:idx val="5"/>
              <c:spPr>
                <a:solidFill>
                  <a:schemeClr val="accent4"/>
                </a:solidFill>
              </c:spPr>
              <c:txPr>
                <a:bodyPr/>
                <a:lstStyle/>
                <a:p>
                  <a:pPr>
                    <a:defRPr sz="1000"/>
                  </a:pPr>
                  <a:endParaRPr lang="en-US"/>
                </a:p>
              </c:txPr>
            </c:dLbl>
            <c:txPr>
              <a:bodyPr/>
              <a:lstStyle/>
              <a:p>
                <a:pPr>
                  <a:defRPr sz="1000"/>
                </a:pPr>
                <a:endParaRPr lang="en-US"/>
              </a:p>
            </c:txPr>
            <c:dLblPos val="ctr"/>
            <c:showVal val="1"/>
          </c:dLbls>
          <c:cat>
            <c:strRef>
              <c:f>Sheet2!$A$10:$A$16</c:f>
              <c:strCache>
                <c:ptCount val="7"/>
                <c:pt idx="0">
                  <c:v>The best business managers are men</c:v>
                </c:pt>
                <c:pt idx="1">
                  <c:v>The best business managers are women</c:v>
                </c:pt>
                <c:pt idx="2">
                  <c:v>No difference</c:v>
                </c:pt>
                <c:pt idx="4">
                  <c:v>It is better when the family is supported by men</c:v>
                </c:pt>
                <c:pt idx="5">
                  <c:v>It is better when the family is supported by women</c:v>
                </c:pt>
                <c:pt idx="6">
                  <c:v>No difference</c:v>
                </c:pt>
              </c:strCache>
            </c:strRef>
          </c:cat>
          <c:val>
            <c:numRef>
              <c:f>Sheet2!$B$10:$B$16</c:f>
              <c:numCache>
                <c:formatCode>0.0</c:formatCode>
                <c:ptCount val="7"/>
                <c:pt idx="0">
                  <c:v>6.4</c:v>
                </c:pt>
                <c:pt idx="1">
                  <c:v>25.5</c:v>
                </c:pt>
                <c:pt idx="2">
                  <c:v>68.099999999999994</c:v>
                </c:pt>
                <c:pt idx="4">
                  <c:v>46.8</c:v>
                </c:pt>
                <c:pt idx="5">
                  <c:v>2.1</c:v>
                </c:pt>
                <c:pt idx="6">
                  <c:v>51.1</c:v>
                </c:pt>
              </c:numCache>
            </c:numRef>
          </c:val>
        </c:ser>
        <c:dLbls>
          <c:showVal val="1"/>
        </c:dLbls>
        <c:axId val="86697856"/>
        <c:axId val="86699392"/>
      </c:barChart>
      <c:catAx>
        <c:axId val="86697856"/>
        <c:scaling>
          <c:orientation val="maxMin"/>
        </c:scaling>
        <c:axPos val="l"/>
        <c:tickLblPos val="nextTo"/>
        <c:crossAx val="86699392"/>
        <c:crosses val="autoZero"/>
        <c:auto val="1"/>
        <c:lblAlgn val="ctr"/>
        <c:lblOffset val="100"/>
      </c:catAx>
      <c:valAx>
        <c:axId val="86699392"/>
        <c:scaling>
          <c:orientation val="minMax"/>
          <c:max val="100"/>
        </c:scaling>
        <c:axPos val="t"/>
        <c:majorGridlines/>
        <c:numFmt formatCode="0.0" sourceLinked="1"/>
        <c:tickLblPos val="nextTo"/>
        <c:crossAx val="8669785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5"/>
  <c:chart>
    <c:autoTitleDeleted val="1"/>
    <c:plotArea>
      <c:layout/>
      <c:barChart>
        <c:barDir val="bar"/>
        <c:grouping val="clustered"/>
        <c:ser>
          <c:idx val="0"/>
          <c:order val="0"/>
          <c:tx>
            <c:strRef>
              <c:f>Sheet1!$B$1</c:f>
              <c:strCache>
                <c:ptCount val="1"/>
                <c:pt idx="0">
                  <c:v>Percent</c:v>
                </c:pt>
              </c:strCache>
            </c:strRef>
          </c:tx>
          <c:cat>
            <c:strRef>
              <c:f>Sheet1!$A$2:$A$7</c:f>
              <c:strCache>
                <c:ptCount val="6"/>
                <c:pt idx="0">
                  <c:v>A business like mine is more acceptable for women</c:v>
                </c:pt>
                <c:pt idx="1">
                  <c:v>A business like mine is easy to manage</c:v>
                </c:pt>
                <c:pt idx="2">
                  <c:v>Business prosperity depends on yourself</c:v>
                </c:pt>
                <c:pt idx="3">
                  <c:v>A business like mine is effective and necessary for it requires less expenditures </c:v>
                </c:pt>
                <c:pt idx="4">
                  <c:v>Business should be controlled by private individuals and companies</c:v>
                </c:pt>
                <c:pt idx="5">
                  <c:v>Competitiveness is good, people work more</c:v>
                </c:pt>
              </c:strCache>
            </c:strRef>
          </c:cat>
          <c:val>
            <c:numRef>
              <c:f>Sheet1!$B$2:$B$7</c:f>
              <c:numCache>
                <c:formatCode>0.0</c:formatCode>
                <c:ptCount val="6"/>
                <c:pt idx="0">
                  <c:v>61.702127659574465</c:v>
                </c:pt>
                <c:pt idx="1">
                  <c:v>68.085106382978708</c:v>
                </c:pt>
                <c:pt idx="2">
                  <c:v>70</c:v>
                </c:pt>
                <c:pt idx="3">
                  <c:v>85.106382978722536</c:v>
                </c:pt>
                <c:pt idx="4">
                  <c:v>89.4</c:v>
                </c:pt>
                <c:pt idx="5">
                  <c:v>100</c:v>
                </c:pt>
              </c:numCache>
            </c:numRef>
          </c:val>
        </c:ser>
        <c:axId val="85464192"/>
        <c:axId val="85465728"/>
      </c:barChart>
      <c:catAx>
        <c:axId val="85464192"/>
        <c:scaling>
          <c:orientation val="minMax"/>
        </c:scaling>
        <c:axPos val="l"/>
        <c:tickLblPos val="nextTo"/>
        <c:crossAx val="85465728"/>
        <c:crosses val="autoZero"/>
        <c:auto val="1"/>
        <c:lblAlgn val="ctr"/>
        <c:lblOffset val="100"/>
      </c:catAx>
      <c:valAx>
        <c:axId val="85465728"/>
        <c:scaling>
          <c:orientation val="minMax"/>
          <c:max val="100"/>
        </c:scaling>
        <c:axPos val="b"/>
        <c:majorGridlines/>
        <c:numFmt formatCode="0.0" sourceLinked="1"/>
        <c:tickLblPos val="nextTo"/>
        <c:crossAx val="8546419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9745272225587225E-2"/>
          <c:y val="3.2659272496071194E-2"/>
          <c:w val="0.87675045427014076"/>
          <c:h val="0.75206520643957819"/>
        </c:manualLayout>
      </c:layout>
      <c:lineChart>
        <c:grouping val="standard"/>
        <c:ser>
          <c:idx val="0"/>
          <c:order val="0"/>
          <c:tx>
            <c:strRef>
              <c:f>'monthly with $'!$B$52</c:f>
              <c:strCache>
                <c:ptCount val="1"/>
                <c:pt idx="0">
                  <c:v>Carving on Wooden Materials</c:v>
                </c:pt>
              </c:strCache>
            </c:strRef>
          </c:tx>
          <c:spPr>
            <a:ln>
              <a:solidFill>
                <a:srgbClr val="7030A0"/>
              </a:solidFill>
            </a:ln>
          </c:spPr>
          <c:marker>
            <c:symbol val="none"/>
          </c:marker>
          <c:val>
            <c:numRef>
              <c:f>'monthly with $'!$C$52:$T$52</c:f>
              <c:numCache>
                <c:formatCode>#,##0</c:formatCode>
                <c:ptCount val="18"/>
                <c:pt idx="0">
                  <c:v>-2436.9241672572662</c:v>
                </c:pt>
                <c:pt idx="1">
                  <c:v>-2256.201275690999</c:v>
                </c:pt>
                <c:pt idx="2">
                  <c:v>-2075.4783841247304</c:v>
                </c:pt>
                <c:pt idx="3">
                  <c:v>-1894.7554925584675</c:v>
                </c:pt>
                <c:pt idx="4">
                  <c:v>-1714.0326009922039</c:v>
                </c:pt>
                <c:pt idx="5">
                  <c:v>-1533.3097094259401</c:v>
                </c:pt>
                <c:pt idx="6">
                  <c:v>-1352.5868178596736</c:v>
                </c:pt>
                <c:pt idx="7">
                  <c:v>-1171.8639262934053</c:v>
                </c:pt>
                <c:pt idx="8">
                  <c:v>-991.14103472714351</c:v>
                </c:pt>
                <c:pt idx="9">
                  <c:v>-810.41814316087812</c:v>
                </c:pt>
                <c:pt idx="10">
                  <c:v>-629.69525159461307</c:v>
                </c:pt>
                <c:pt idx="11">
                  <c:v>-448.97236002834779</c:v>
                </c:pt>
                <c:pt idx="12">
                  <c:v>-268.24946846208269</c:v>
                </c:pt>
                <c:pt idx="13">
                  <c:v>-87.526576895817911</c:v>
                </c:pt>
                <c:pt idx="14">
                  <c:v>93.196314670447023</c:v>
                </c:pt>
                <c:pt idx="15">
                  <c:v>304.03968816442335</c:v>
                </c:pt>
                <c:pt idx="16">
                  <c:v>514.88306165839958</c:v>
                </c:pt>
                <c:pt idx="17">
                  <c:v>725.72643515237451</c:v>
                </c:pt>
              </c:numCache>
            </c:numRef>
          </c:val>
        </c:ser>
        <c:ser>
          <c:idx val="1"/>
          <c:order val="1"/>
          <c:tx>
            <c:strRef>
              <c:f>'monthly with $'!$B$53</c:f>
              <c:strCache>
                <c:ptCount val="1"/>
                <c:pt idx="0">
                  <c:v>Production of soft drinks </c:v>
                </c:pt>
              </c:strCache>
            </c:strRef>
          </c:tx>
          <c:marker>
            <c:symbol val="none"/>
          </c:marker>
          <c:val>
            <c:numRef>
              <c:f>'monthly with $'!$C$53:$T$53</c:f>
              <c:numCache>
                <c:formatCode>#,##0</c:formatCode>
                <c:ptCount val="18"/>
                <c:pt idx="0">
                  <c:v>-10491.849751948926</c:v>
                </c:pt>
                <c:pt idx="1">
                  <c:v>-10395.464209780243</c:v>
                </c:pt>
                <c:pt idx="2">
                  <c:v>-10250.885896527219</c:v>
                </c:pt>
                <c:pt idx="3">
                  <c:v>-10106.307583274209</c:v>
                </c:pt>
                <c:pt idx="4">
                  <c:v>-9925.5846917079616</c:v>
                </c:pt>
                <c:pt idx="5">
                  <c:v>-9805.1027639971071</c:v>
                </c:pt>
                <c:pt idx="6">
                  <c:v>-9684.620836286269</c:v>
                </c:pt>
                <c:pt idx="7">
                  <c:v>-9564.1389085754308</c:v>
                </c:pt>
                <c:pt idx="8">
                  <c:v>-9443.6569808645709</c:v>
                </c:pt>
                <c:pt idx="9">
                  <c:v>-9323.1750531537436</c:v>
                </c:pt>
                <c:pt idx="10">
                  <c:v>-9142.4521615874619</c:v>
                </c:pt>
              </c:numCache>
            </c:numRef>
          </c:val>
        </c:ser>
        <c:ser>
          <c:idx val="2"/>
          <c:order val="2"/>
          <c:tx>
            <c:strRef>
              <c:f>'monthly with $'!$B$54</c:f>
              <c:strCache>
                <c:ptCount val="1"/>
                <c:pt idx="0">
                  <c:v>Savali Bakery</c:v>
                </c:pt>
              </c:strCache>
            </c:strRef>
          </c:tx>
          <c:spPr>
            <a:ln>
              <a:solidFill>
                <a:schemeClr val="accent4"/>
              </a:solidFill>
            </a:ln>
          </c:spPr>
          <c:marker>
            <c:spPr>
              <a:solidFill>
                <a:schemeClr val="accent4"/>
              </a:solidFill>
            </c:spPr>
          </c:marker>
          <c:val>
            <c:numRef>
              <c:f>'monthly with $'!$C$54:$T$54</c:f>
              <c:numCache>
                <c:formatCode>#,##0</c:formatCode>
                <c:ptCount val="18"/>
                <c:pt idx="0">
                  <c:v>-9404.5903614457839</c:v>
                </c:pt>
                <c:pt idx="1">
                  <c:v>-8802.1807228915768</c:v>
                </c:pt>
                <c:pt idx="2">
                  <c:v>-8199.7710843373497</c:v>
                </c:pt>
                <c:pt idx="3">
                  <c:v>-7597.3614457831354</c:v>
                </c:pt>
                <c:pt idx="4">
                  <c:v>-6994.9518072289093</c:v>
                </c:pt>
                <c:pt idx="5">
                  <c:v>-6392.5421686747059</c:v>
                </c:pt>
                <c:pt idx="6">
                  <c:v>-5790.1325301204824</c:v>
                </c:pt>
                <c:pt idx="7">
                  <c:v>-5187.7228915662763</c:v>
                </c:pt>
                <c:pt idx="8">
                  <c:v>-4585.3132530120474</c:v>
                </c:pt>
                <c:pt idx="9">
                  <c:v>-3982.9036144578304</c:v>
                </c:pt>
                <c:pt idx="10">
                  <c:v>-3380.4939759036142</c:v>
                </c:pt>
                <c:pt idx="11">
                  <c:v>-2778.0843373493972</c:v>
                </c:pt>
                <c:pt idx="12">
                  <c:v>-2175.6746987951788</c:v>
                </c:pt>
                <c:pt idx="13">
                  <c:v>-1573.2650602409631</c:v>
                </c:pt>
                <c:pt idx="14">
                  <c:v>-970.85542168674647</c:v>
                </c:pt>
                <c:pt idx="15">
                  <c:v>-368.44578313253078</c:v>
                </c:pt>
                <c:pt idx="16">
                  <c:v>233.96385542168517</c:v>
                </c:pt>
                <c:pt idx="17">
                  <c:v>836.37349397590151</c:v>
                </c:pt>
              </c:numCache>
            </c:numRef>
          </c:val>
        </c:ser>
        <c:ser>
          <c:idx val="3"/>
          <c:order val="3"/>
          <c:tx>
            <c:strRef>
              <c:f>'monthly with $'!$B$55</c:f>
              <c:strCache>
                <c:ptCount val="1"/>
                <c:pt idx="0">
                  <c:v>Greenhouse</c:v>
                </c:pt>
              </c:strCache>
            </c:strRef>
          </c:tx>
          <c:spPr>
            <a:ln>
              <a:solidFill>
                <a:srgbClr val="00B050"/>
              </a:solidFill>
            </a:ln>
          </c:spPr>
          <c:marker>
            <c:symbol val="none"/>
          </c:marker>
          <c:val>
            <c:numRef>
              <c:f>'monthly with $'!$C$55:$T$55</c:f>
              <c:numCache>
                <c:formatCode>#,##0</c:formatCode>
                <c:ptCount val="18"/>
                <c:pt idx="0">
                  <c:v>-25628.497222422629</c:v>
                </c:pt>
                <c:pt idx="1">
                  <c:v>-25387.533367000899</c:v>
                </c:pt>
                <c:pt idx="2">
                  <c:v>-25146.569511579226</c:v>
                </c:pt>
                <c:pt idx="3">
                  <c:v>-24905.605656157531</c:v>
                </c:pt>
                <c:pt idx="4">
                  <c:v>-24664.641800735881</c:v>
                </c:pt>
                <c:pt idx="5">
                  <c:v>-24423.677945314193</c:v>
                </c:pt>
                <c:pt idx="6">
                  <c:v>-24182.714089892506</c:v>
                </c:pt>
                <c:pt idx="7">
                  <c:v>-23941.750234470812</c:v>
                </c:pt>
                <c:pt idx="8">
                  <c:v>-23700.786379049132</c:v>
                </c:pt>
                <c:pt idx="9">
                  <c:v>-23459.822523627445</c:v>
                </c:pt>
                <c:pt idx="10">
                  <c:v>-23218.858668205728</c:v>
                </c:pt>
                <c:pt idx="11">
                  <c:v>-22977.894812784099</c:v>
                </c:pt>
              </c:numCache>
            </c:numRef>
          </c:val>
        </c:ser>
        <c:ser>
          <c:idx val="4"/>
          <c:order val="4"/>
          <c:tx>
            <c:strRef>
              <c:f>'monthly with $'!$B$56</c:f>
              <c:strCache>
                <c:ptCount val="1"/>
                <c:pt idx="0">
                  <c:v>Production of Corn Flakes</c:v>
                </c:pt>
              </c:strCache>
            </c:strRef>
          </c:tx>
          <c:spPr>
            <a:ln>
              <a:solidFill>
                <a:schemeClr val="accent2"/>
              </a:solidFill>
            </a:ln>
          </c:spPr>
          <c:marker>
            <c:symbol val="circle"/>
            <c:size val="7"/>
            <c:spPr>
              <a:solidFill>
                <a:srgbClr val="7598D9">
                  <a:lumMod val="75000"/>
                </a:srgbClr>
              </a:solidFill>
            </c:spPr>
          </c:marker>
          <c:val>
            <c:numRef>
              <c:f>'monthly with $'!$C$56:$T$56</c:f>
              <c:numCache>
                <c:formatCode>#,##0</c:formatCode>
                <c:ptCount val="18"/>
                <c:pt idx="0">
                  <c:v>-8921.794964288285</c:v>
                </c:pt>
                <c:pt idx="1">
                  <c:v>-8741.0720727220269</c:v>
                </c:pt>
                <c:pt idx="2">
                  <c:v>-8409.7467715172188</c:v>
                </c:pt>
                <c:pt idx="3">
                  <c:v>-8198.9033980232271</c:v>
                </c:pt>
                <c:pt idx="4">
                  <c:v>-8018.1805064569762</c:v>
                </c:pt>
                <c:pt idx="5">
                  <c:v>-7837.4576148906999</c:v>
                </c:pt>
                <c:pt idx="6">
                  <c:v>-7656.7347233244282</c:v>
                </c:pt>
                <c:pt idx="7">
                  <c:v>-7476.0118317581764</c:v>
                </c:pt>
                <c:pt idx="8">
                  <c:v>-7295.2889401919047</c:v>
                </c:pt>
                <c:pt idx="9">
                  <c:v>-7114.5660486256456</c:v>
                </c:pt>
                <c:pt idx="10">
                  <c:v>-6933.8431570593748</c:v>
                </c:pt>
                <c:pt idx="11">
                  <c:v>-6692.8793016376894</c:v>
                </c:pt>
              </c:numCache>
            </c:numRef>
          </c:val>
        </c:ser>
        <c:ser>
          <c:idx val="5"/>
          <c:order val="5"/>
          <c:tx>
            <c:strRef>
              <c:f>'monthly with $'!$B$57</c:f>
              <c:strCache>
                <c:ptCount val="1"/>
                <c:pt idx="0">
                  <c:v>Tkbili Kvekana Bakery</c:v>
                </c:pt>
              </c:strCache>
            </c:strRef>
          </c:tx>
          <c:spPr>
            <a:ln>
              <a:solidFill>
                <a:srgbClr val="F5CD2D"/>
              </a:solidFill>
            </a:ln>
          </c:spPr>
          <c:marker>
            <c:spPr>
              <a:solidFill>
                <a:srgbClr val="F5CD2D"/>
              </a:solidFill>
            </c:spPr>
          </c:marker>
          <c:val>
            <c:numRef>
              <c:f>'monthly with $'!$C$57:$T$57</c:f>
              <c:numCache>
                <c:formatCode>#,##0</c:formatCode>
                <c:ptCount val="18"/>
                <c:pt idx="0">
                  <c:v>-5506.2405309862206</c:v>
                </c:pt>
                <c:pt idx="1">
                  <c:v>-5048.4092056850159</c:v>
                </c:pt>
                <c:pt idx="2">
                  <c:v>-4590.5778803838075</c:v>
                </c:pt>
                <c:pt idx="3">
                  <c:v>-4132.7465550826055</c:v>
                </c:pt>
                <c:pt idx="4">
                  <c:v>-3674.9152297814012</c:v>
                </c:pt>
                <c:pt idx="5">
                  <c:v>-3217.0839044801965</c:v>
                </c:pt>
                <c:pt idx="6">
                  <c:v>-2759.2525791789917</c:v>
                </c:pt>
                <c:pt idx="7">
                  <c:v>-2301.4212538777911</c:v>
                </c:pt>
                <c:pt idx="8">
                  <c:v>-1843.5899285765797</c:v>
                </c:pt>
                <c:pt idx="9">
                  <c:v>-1385.758603275377</c:v>
                </c:pt>
                <c:pt idx="10">
                  <c:v>-1168.8911333958567</c:v>
                </c:pt>
                <c:pt idx="11">
                  <c:v>-952.02366351634055</c:v>
                </c:pt>
              </c:numCache>
            </c:numRef>
          </c:val>
        </c:ser>
        <c:ser>
          <c:idx val="6"/>
          <c:order val="6"/>
          <c:tx>
            <c:strRef>
              <c:f>'monthly with $'!$B$58</c:f>
              <c:strCache>
                <c:ptCount val="1"/>
                <c:pt idx="0">
                  <c:v>Education center</c:v>
                </c:pt>
              </c:strCache>
            </c:strRef>
          </c:tx>
          <c:marker>
            <c:symbol val="none"/>
          </c:marker>
          <c:val>
            <c:numRef>
              <c:f>'monthly with $'!$C$58:$T$58</c:f>
              <c:numCache>
                <c:formatCode>#,##0</c:formatCode>
                <c:ptCount val="18"/>
                <c:pt idx="0">
                  <c:v>-1807.8421470312378</c:v>
                </c:pt>
                <c:pt idx="1">
                  <c:v>-1687.3602193203956</c:v>
                </c:pt>
                <c:pt idx="2">
                  <c:v>-1687.3602193203956</c:v>
                </c:pt>
                <c:pt idx="3">
                  <c:v>-1687.3602193203956</c:v>
                </c:pt>
                <c:pt idx="4">
                  <c:v>-1627.1192554649751</c:v>
                </c:pt>
                <c:pt idx="5">
                  <c:v>-1566.878291609552</c:v>
                </c:pt>
              </c:numCache>
            </c:numRef>
          </c:val>
        </c:ser>
        <c:ser>
          <c:idx val="7"/>
          <c:order val="7"/>
          <c:tx>
            <c:strRef>
              <c:f>'monthly with $'!$B$59</c:f>
              <c:strCache>
                <c:ptCount val="1"/>
                <c:pt idx="0">
                  <c:v>Metal-plastic goods production</c:v>
                </c:pt>
              </c:strCache>
            </c:strRef>
          </c:tx>
          <c:spPr>
            <a:ln>
              <a:solidFill>
                <a:schemeClr val="accent1"/>
              </a:solidFill>
            </a:ln>
          </c:spPr>
          <c:marker>
            <c:symbol val="plus"/>
            <c:size val="8"/>
            <c:spPr>
              <a:solidFill>
                <a:schemeClr val="accent1"/>
              </a:solidFill>
            </c:spPr>
          </c:marker>
          <c:val>
            <c:numRef>
              <c:f>'monthly with $'!$C$59:$T$59</c:f>
              <c:numCache>
                <c:formatCode>#,##0</c:formatCode>
                <c:ptCount val="18"/>
                <c:pt idx="0">
                  <c:v>-6945.0256114277599</c:v>
                </c:pt>
                <c:pt idx="1">
                  <c:v>-6764.3027198614891</c:v>
                </c:pt>
                <c:pt idx="2">
                  <c:v>-6583.5798282952173</c:v>
                </c:pt>
                <c:pt idx="3">
                  <c:v>-6252.2545270903984</c:v>
                </c:pt>
                <c:pt idx="4">
                  <c:v>-5920.9292258855858</c:v>
                </c:pt>
                <c:pt idx="5">
                  <c:v>-5589.6039246807668</c:v>
                </c:pt>
                <c:pt idx="6">
                  <c:v>-5258.2786234759496</c:v>
                </c:pt>
                <c:pt idx="7">
                  <c:v>-4926.9533222711207</c:v>
                </c:pt>
                <c:pt idx="8">
                  <c:v>-4595.6280210663117</c:v>
                </c:pt>
              </c:numCache>
            </c:numRef>
          </c:val>
        </c:ser>
        <c:ser>
          <c:idx val="8"/>
          <c:order val="8"/>
          <c:tx>
            <c:strRef>
              <c:f>'monthly with $'!$B$60</c:f>
              <c:strCache>
                <c:ptCount val="1"/>
                <c:pt idx="0">
                  <c:v>Trout farm</c:v>
                </c:pt>
              </c:strCache>
            </c:strRef>
          </c:tx>
          <c:spPr>
            <a:ln>
              <a:solidFill>
                <a:srgbClr val="00B050"/>
              </a:solidFill>
              <a:prstDash val="sysDash"/>
            </a:ln>
          </c:spPr>
          <c:marker>
            <c:symbol val="none"/>
          </c:marker>
          <c:val>
            <c:numRef>
              <c:f>'monthly with $'!$C$60:$T$60</c:f>
              <c:numCache>
                <c:formatCode>#,##0</c:formatCode>
                <c:ptCount val="18"/>
                <c:pt idx="0">
                  <c:v>-11345.314190895317</c:v>
                </c:pt>
                <c:pt idx="1">
                  <c:v>-11212.784070413392</c:v>
                </c:pt>
                <c:pt idx="2">
                  <c:v>-11080.253949931464</c:v>
                </c:pt>
                <c:pt idx="3">
                  <c:v>-10947.723829449535</c:v>
                </c:pt>
                <c:pt idx="4">
                  <c:v>-10815.193708967608</c:v>
                </c:pt>
                <c:pt idx="5">
                  <c:v>-10682.663588485682</c:v>
                </c:pt>
                <c:pt idx="6">
                  <c:v>-10550.133468003774</c:v>
                </c:pt>
                <c:pt idx="7">
                  <c:v>-10417.603347521839</c:v>
                </c:pt>
                <c:pt idx="8">
                  <c:v>-10285.073227039898</c:v>
                </c:pt>
                <c:pt idx="9">
                  <c:v>-10152.543106557972</c:v>
                </c:pt>
                <c:pt idx="10">
                  <c:v>-10020.012986076044</c:v>
                </c:pt>
                <c:pt idx="11">
                  <c:v>-9887.482865594111</c:v>
                </c:pt>
                <c:pt idx="12">
                  <c:v>-9754.9527451121994</c:v>
                </c:pt>
                <c:pt idx="13">
                  <c:v>-9622.4226246302442</c:v>
                </c:pt>
              </c:numCache>
            </c:numRef>
          </c:val>
        </c:ser>
        <c:ser>
          <c:idx val="9"/>
          <c:order val="9"/>
          <c:tx>
            <c:strRef>
              <c:f>'monthly with $'!$B$61</c:f>
              <c:strCache>
                <c:ptCount val="1"/>
                <c:pt idx="0">
                  <c:v>Plastic goods production</c:v>
                </c:pt>
              </c:strCache>
            </c:strRef>
          </c:tx>
          <c:spPr>
            <a:ln>
              <a:solidFill>
                <a:schemeClr val="accent3"/>
              </a:solidFill>
              <a:prstDash val="dash"/>
            </a:ln>
          </c:spPr>
          <c:marker>
            <c:symbol val="plus"/>
            <c:size val="10"/>
            <c:spPr>
              <a:solidFill>
                <a:schemeClr val="accent3"/>
              </a:solidFill>
            </c:spPr>
          </c:marker>
          <c:val>
            <c:numRef>
              <c:f>'monthly with $'!$C$61:$T$61</c:f>
              <c:numCache>
                <c:formatCode>#,##0</c:formatCode>
                <c:ptCount val="18"/>
                <c:pt idx="0">
                  <c:v>-4994.6432436332152</c:v>
                </c:pt>
                <c:pt idx="1">
                  <c:v>-4081.9926412235768</c:v>
                </c:pt>
                <c:pt idx="2">
                  <c:v>-3148.2577014645408</c:v>
                </c:pt>
                <c:pt idx="3">
                  <c:v>-2347.0528821874323</c:v>
                </c:pt>
                <c:pt idx="4">
                  <c:v>-1413.3179424283958</c:v>
                </c:pt>
                <c:pt idx="5">
                  <c:v>-413.31794242839635</c:v>
                </c:pt>
                <c:pt idx="6">
                  <c:v>586.68205757160456</c:v>
                </c:pt>
                <c:pt idx="7">
                  <c:v>1586.6820575716038</c:v>
                </c:pt>
                <c:pt idx="8">
                  <c:v>2586.6820575716042</c:v>
                </c:pt>
                <c:pt idx="9">
                  <c:v>3586.6820575716042</c:v>
                </c:pt>
                <c:pt idx="10">
                  <c:v>4586.682057571611</c:v>
                </c:pt>
              </c:numCache>
            </c:numRef>
          </c:val>
        </c:ser>
        <c:ser>
          <c:idx val="10"/>
          <c:order val="10"/>
          <c:tx>
            <c:strRef>
              <c:f>'monthly with $'!$B$62</c:f>
              <c:strCache>
                <c:ptCount val="1"/>
                <c:pt idx="0">
                  <c:v>Grocery shop</c:v>
                </c:pt>
              </c:strCache>
            </c:strRef>
          </c:tx>
          <c:spPr>
            <a:ln>
              <a:solidFill>
                <a:schemeClr val="tx1"/>
              </a:solidFill>
            </a:ln>
          </c:spPr>
          <c:marker>
            <c:symbol val="triangle"/>
            <c:size val="8"/>
            <c:spPr>
              <a:solidFill>
                <a:schemeClr val="tx1"/>
              </a:solidFill>
            </c:spPr>
          </c:marker>
          <c:val>
            <c:numRef>
              <c:f>'monthly with $'!$C$62:$T$62</c:f>
              <c:numCache>
                <c:formatCode>#,##0</c:formatCode>
                <c:ptCount val="18"/>
                <c:pt idx="0">
                  <c:v>-4935.9939759036115</c:v>
                </c:pt>
                <c:pt idx="1">
                  <c:v>-4809.4879518072285</c:v>
                </c:pt>
                <c:pt idx="2">
                  <c:v>-4682.9819277108436</c:v>
                </c:pt>
                <c:pt idx="3">
                  <c:v>-4556.4759036144578</c:v>
                </c:pt>
                <c:pt idx="4">
                  <c:v>-4429.969879518072</c:v>
                </c:pt>
                <c:pt idx="5">
                  <c:v>-4303.4638554216872</c:v>
                </c:pt>
              </c:numCache>
            </c:numRef>
          </c:val>
        </c:ser>
        <c:ser>
          <c:idx val="11"/>
          <c:order val="11"/>
          <c:tx>
            <c:strRef>
              <c:f>'monthly with $'!$B$63</c:f>
              <c:strCache>
                <c:ptCount val="1"/>
                <c:pt idx="0">
                  <c:v>Chicken slaughterhouse</c:v>
                </c:pt>
              </c:strCache>
            </c:strRef>
          </c:tx>
          <c:marker>
            <c:symbol val="square"/>
            <c:size val="5"/>
          </c:marker>
          <c:val>
            <c:numRef>
              <c:f>'monthly with $'!$C$63:$T$63</c:f>
              <c:numCache>
                <c:formatCode>#,##0</c:formatCode>
                <c:ptCount val="18"/>
                <c:pt idx="0">
                  <c:v>-9072.5753012048062</c:v>
                </c:pt>
                <c:pt idx="1">
                  <c:v>-6903.9006024096434</c:v>
                </c:pt>
                <c:pt idx="2">
                  <c:v>-4735.2259036144624</c:v>
                </c:pt>
                <c:pt idx="3">
                  <c:v>-2566.5512048192772</c:v>
                </c:pt>
                <c:pt idx="4">
                  <c:v>-397.87650602409445</c:v>
                </c:pt>
                <c:pt idx="5">
                  <c:v>1770.7981927710862</c:v>
                </c:pt>
              </c:numCache>
            </c:numRef>
          </c:val>
        </c:ser>
        <c:ser>
          <c:idx val="12"/>
          <c:order val="12"/>
          <c:tx>
            <c:strRef>
              <c:f>'monthly with $'!$B$64</c:f>
              <c:strCache>
                <c:ptCount val="1"/>
                <c:pt idx="0">
                  <c:v>Chicken incubator</c:v>
                </c:pt>
              </c:strCache>
            </c:strRef>
          </c:tx>
          <c:marker>
            <c:symbol val="none"/>
          </c:marker>
          <c:val>
            <c:numRef>
              <c:f>'monthly with $'!$C$64:$T$64</c:f>
              <c:numCache>
                <c:formatCode>#,##0</c:formatCode>
                <c:ptCount val="18"/>
                <c:pt idx="0">
                  <c:v>-1930.4216867469881</c:v>
                </c:pt>
                <c:pt idx="1">
                  <c:v>-1821.987951807231</c:v>
                </c:pt>
                <c:pt idx="2">
                  <c:v>-1713.5542168674681</c:v>
                </c:pt>
              </c:numCache>
            </c:numRef>
          </c:val>
        </c:ser>
        <c:ser>
          <c:idx val="13"/>
          <c:order val="13"/>
          <c:tx>
            <c:strRef>
              <c:f>'monthly with $'!$B$65</c:f>
              <c:strCache>
                <c:ptCount val="1"/>
                <c:pt idx="0">
                  <c:v>Farmers' service center</c:v>
                </c:pt>
              </c:strCache>
            </c:strRef>
          </c:tx>
          <c:marker>
            <c:symbol val="none"/>
          </c:marker>
          <c:val>
            <c:numRef>
              <c:f>'monthly with $'!$C$65:$T$65</c:f>
              <c:numCache>
                <c:formatCode>General</c:formatCode>
                <c:ptCount val="18"/>
                <c:pt idx="0" formatCode="#,##0">
                  <c:v>-5099.3975903614519</c:v>
                </c:pt>
              </c:numCache>
            </c:numRef>
          </c:val>
        </c:ser>
        <c:marker val="1"/>
        <c:axId val="86983424"/>
        <c:axId val="86984960"/>
      </c:lineChart>
      <c:catAx>
        <c:axId val="86983424"/>
        <c:scaling>
          <c:orientation val="minMax"/>
        </c:scaling>
        <c:axPos val="b"/>
        <c:numFmt formatCode="General" sourceLinked="1"/>
        <c:tickLblPos val="nextTo"/>
        <c:crossAx val="86984960"/>
        <c:crosses val="autoZero"/>
        <c:auto val="1"/>
        <c:lblAlgn val="ctr"/>
        <c:lblOffset val="100"/>
      </c:catAx>
      <c:valAx>
        <c:axId val="86984960"/>
        <c:scaling>
          <c:orientation val="minMax"/>
        </c:scaling>
        <c:axPos val="l"/>
        <c:majorGridlines/>
        <c:numFmt formatCode="#,##0" sourceLinked="1"/>
        <c:tickLblPos val="nextTo"/>
        <c:crossAx val="86983424"/>
        <c:crosses val="autoZero"/>
        <c:crossBetween val="between"/>
      </c:valAx>
    </c:plotArea>
    <c:legend>
      <c:legendPos val="b"/>
      <c:layout>
        <c:manualLayout>
          <c:xMode val="edge"/>
          <c:yMode val="edge"/>
          <c:x val="5.6769226022727111E-2"/>
          <c:y val="0.80162057843517565"/>
          <c:w val="0.88646143240295427"/>
          <c:h val="0.19837942156482591"/>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Economic Projects</a:t>
            </a:r>
          </a:p>
        </c:rich>
      </c:tx>
      <c:overlay val="1"/>
    </c:title>
    <c:view3D>
      <c:rotX val="40"/>
      <c:rotY val="180"/>
      <c:perspective val="10"/>
    </c:view3D>
    <c:plotArea>
      <c:layout/>
      <c:pie3DChart>
        <c:varyColors val="1"/>
        <c:ser>
          <c:idx val="0"/>
          <c:order val="0"/>
          <c:explosion val="25"/>
          <c:dPt>
            <c:idx val="2"/>
            <c:spPr>
              <a:solidFill>
                <a:schemeClr val="accent4"/>
              </a:solidFill>
            </c:spPr>
          </c:dPt>
          <c:dLbls>
            <c:dLbl>
              <c:idx val="0"/>
              <c:dLblPos val="outEnd"/>
              <c:showVal val="1"/>
            </c:dLbl>
            <c:dLbl>
              <c:idx val="1"/>
              <c:dLblPos val="outEnd"/>
              <c:showVal val="1"/>
            </c:dLbl>
            <c:dLbl>
              <c:idx val="2"/>
              <c:dLblPos val="outEnd"/>
              <c:showVal val="1"/>
            </c:dLbl>
            <c:delete val="1"/>
          </c:dLbls>
          <c:cat>
            <c:strRef>
              <c:f>corrected!$M$57:$O$57</c:f>
              <c:strCache>
                <c:ptCount val="3"/>
                <c:pt idx="0">
                  <c:v>CARE</c:v>
                </c:pt>
                <c:pt idx="1">
                  <c:v>Community</c:v>
                </c:pt>
                <c:pt idx="2">
                  <c:v>Government</c:v>
                </c:pt>
              </c:strCache>
            </c:strRef>
          </c:cat>
          <c:val>
            <c:numRef>
              <c:f>corrected!$M$58:$O$58</c:f>
              <c:numCache>
                <c:formatCode>_(* #,##0_);_(* \(#,##0\);_(* "-"??_);_(@_)</c:formatCode>
                <c:ptCount val="3"/>
                <c:pt idx="0">
                  <c:v>124805.7789661321</c:v>
                </c:pt>
                <c:pt idx="1">
                  <c:v>49727.54010695187</c:v>
                </c:pt>
                <c:pt idx="2">
                  <c:v>14086.87878787879</c:v>
                </c:pt>
              </c:numCache>
            </c:numRef>
          </c:val>
        </c:ser>
        <c:dLbls>
          <c:showVal val="1"/>
        </c:dLbls>
      </c:pie3DChart>
    </c:plotArea>
    <c:plotVisOnly val="1"/>
  </c:chart>
  <c:externalData r:id="rId1"/>
</c:chartSpace>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432C68-58DF-4D72-BAA0-2150D2E5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25973</Words>
  <Characters>148052</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Stabilization and Integration of IDPs into Mainstream Georgian Society (SIIMS)</vt:lpstr>
    </vt:vector>
  </TitlesOfParts>
  <Company>Prepared for CARE International in the Caucasus</Company>
  <LinksUpToDate>false</LinksUpToDate>
  <CharactersWithSpaces>173678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Stabilization and Integration of IDPs into Mainstream Georgian Society (SIIMS)</dc:title>
  <dc:subject>Final Evaluation</dc:subject>
  <dc:creator>by Kerry Richter</dc:creator>
  <cp:lastModifiedBy>Kerry Richter</cp:lastModifiedBy>
  <cp:revision>2</cp:revision>
  <cp:lastPrinted>2012-10-22T18:13:00Z</cp:lastPrinted>
  <dcterms:created xsi:type="dcterms:W3CDTF">2012-10-31T07:15:00Z</dcterms:created>
  <dcterms:modified xsi:type="dcterms:W3CDTF">2012-10-31T07:15:00Z</dcterms:modified>
</cp:coreProperties>
</file>